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6"/>
        <w:tblW w:w="12619"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4678"/>
        <w:gridCol w:w="7941"/>
      </w:tblGrid>
      <w:tr w:rsidR="0048046B" w14:paraId="08DFBFAA" w14:textId="77777777" w:rsidTr="2FAA689C">
        <w:trPr>
          <w:trHeight w:val="2268"/>
        </w:trPr>
        <w:tc>
          <w:tcPr>
            <w:tcW w:w="4678" w:type="dxa"/>
            <w:shd w:val="clear" w:color="auto" w:fill="133D8D"/>
            <w:vAlign w:val="bottom"/>
          </w:tcPr>
          <w:p w14:paraId="5BCA7FC3" w14:textId="6378349C" w:rsidR="0048046B" w:rsidRPr="007A5359" w:rsidRDefault="0048046B" w:rsidP="00F9314B">
            <w:pPr>
              <w:pStyle w:val="Heading1"/>
              <w:spacing w:beforeLines="50" w:before="120" w:after="240"/>
              <w:ind w:left="1077"/>
              <w:rPr>
                <w:bCs w:val="0"/>
              </w:rPr>
            </w:pPr>
            <w:r>
              <w:rPr>
                <w:noProof/>
              </w:rPr>
              <w:drawing>
                <wp:inline distT="0" distB="0" distL="0" distR="0" wp14:anchorId="506FA11E" wp14:editId="6584DF7A">
                  <wp:extent cx="1331089" cy="604047"/>
                  <wp:effectExtent l="0" t="0" r="2540" b="5715"/>
                  <wp:docPr id="3" name="Picture 3"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6666" cy="629268"/>
                          </a:xfrm>
                          <a:prstGeom prst="rect">
                            <a:avLst/>
                          </a:prstGeom>
                        </pic:spPr>
                      </pic:pic>
                    </a:graphicData>
                  </a:graphic>
                </wp:inline>
              </w:drawing>
            </w:r>
          </w:p>
        </w:tc>
        <w:tc>
          <w:tcPr>
            <w:tcW w:w="7941" w:type="dxa"/>
            <w:shd w:val="clear" w:color="auto" w:fill="133D8D"/>
            <w:vAlign w:val="bottom"/>
          </w:tcPr>
          <w:p w14:paraId="04F367BF" w14:textId="314D44EF" w:rsidR="0048046B" w:rsidRDefault="0048046B" w:rsidP="00F9314B">
            <w:pPr>
              <w:pStyle w:val="Heading1"/>
              <w:spacing w:beforeLines="50" w:before="120" w:after="120"/>
              <w:ind w:right="1031"/>
              <w:jc w:val="right"/>
            </w:pPr>
            <w:r>
              <w:rPr>
                <w:noProof/>
              </w:rPr>
              <w:drawing>
                <wp:inline distT="0" distB="0" distL="0" distR="0" wp14:anchorId="7C5A5884" wp14:editId="3102BC09">
                  <wp:extent cx="2060294" cy="743812"/>
                  <wp:effectExtent l="0" t="0" r="0" b="5715"/>
                  <wp:docPr id="4" name="Picture 4" descr="Fife Pension Fund logo. Administered by Fif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Pension Fund logo. Administered by Fife Counci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6267" cy="756799"/>
                          </a:xfrm>
                          <a:prstGeom prst="rect">
                            <a:avLst/>
                          </a:prstGeom>
                        </pic:spPr>
                      </pic:pic>
                    </a:graphicData>
                  </a:graphic>
                </wp:inline>
              </w:drawing>
            </w:r>
          </w:p>
        </w:tc>
      </w:tr>
      <w:tr w:rsidR="0048046B" w14:paraId="4C29B5C5" w14:textId="77777777" w:rsidTr="2FAA689C">
        <w:tc>
          <w:tcPr>
            <w:tcW w:w="12619" w:type="dxa"/>
            <w:gridSpan w:val="2"/>
          </w:tcPr>
          <w:p w14:paraId="0AC895DB" w14:textId="7D9FCD3F" w:rsidR="0048046B" w:rsidRPr="007A5359" w:rsidRDefault="007A5359" w:rsidP="00F9314B">
            <w:pPr>
              <w:spacing w:before="40" w:after="40"/>
              <w:ind w:left="-108"/>
              <w:jc w:val="center"/>
              <w:rPr>
                <w:rFonts w:eastAsiaTheme="majorEastAsia"/>
              </w:rPr>
            </w:pPr>
            <w:r>
              <w:rPr>
                <w:noProof/>
              </w:rPr>
              <w:drawing>
                <wp:inline distT="0" distB="0" distL="0" distR="0" wp14:anchorId="7691F374" wp14:editId="1FB3C25E">
                  <wp:extent cx="7662177" cy="4257446"/>
                  <wp:effectExtent l="0" t="0" r="0" b="0"/>
                  <wp:docPr id="5" name="Picture 5" descr="A picture containing water, outdoor, sky,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7683246" cy="4269153"/>
                          </a:xfrm>
                          <a:prstGeom prst="rect">
                            <a:avLst/>
                          </a:prstGeom>
                        </pic:spPr>
                      </pic:pic>
                    </a:graphicData>
                  </a:graphic>
                </wp:inline>
              </w:drawing>
            </w:r>
          </w:p>
        </w:tc>
      </w:tr>
      <w:tr w:rsidR="0048046B" w14:paraId="2B9D27CC" w14:textId="77777777" w:rsidTr="2FAA689C">
        <w:trPr>
          <w:trHeight w:val="4431"/>
        </w:trPr>
        <w:tc>
          <w:tcPr>
            <w:tcW w:w="12619" w:type="dxa"/>
            <w:gridSpan w:val="2"/>
            <w:shd w:val="clear" w:color="auto" w:fill="133D8D"/>
          </w:tcPr>
          <w:p w14:paraId="7E7312C4" w14:textId="2245B5D8" w:rsidR="009B13D5" w:rsidRDefault="00DC4BD4" w:rsidP="00F9314B">
            <w:pPr>
              <w:pStyle w:val="Title"/>
            </w:pPr>
            <w:r>
              <w:t>Funding Strategy Statement</w:t>
            </w:r>
          </w:p>
          <w:p w14:paraId="383D8828" w14:textId="2FAEEA98" w:rsidR="0048046B" w:rsidRPr="009B13D5" w:rsidRDefault="00C06BA9" w:rsidP="00F9314B">
            <w:pPr>
              <w:pStyle w:val="Title"/>
              <w:rPr>
                <w:b w:val="0"/>
                <w:bCs/>
                <w:sz w:val="36"/>
                <w:szCs w:val="36"/>
              </w:rPr>
            </w:pPr>
            <w:r>
              <w:rPr>
                <w:b w:val="0"/>
                <w:bCs/>
                <w:sz w:val="36"/>
                <w:szCs w:val="36"/>
              </w:rPr>
              <w:t>March 2024</w:t>
            </w:r>
            <w:r w:rsidR="0048046B" w:rsidRPr="009B13D5">
              <w:rPr>
                <w:b w:val="0"/>
                <w:bCs/>
                <w:sz w:val="36"/>
                <w:szCs w:val="36"/>
              </w:rPr>
              <w:t xml:space="preserve"> </w:t>
            </w:r>
            <w:r w:rsidR="00F5799E">
              <w:rPr>
                <w:b w:val="0"/>
                <w:bCs/>
                <w:sz w:val="36"/>
                <w:szCs w:val="36"/>
              </w:rPr>
              <w:t>(revised)</w:t>
            </w:r>
          </w:p>
        </w:tc>
      </w:tr>
    </w:tbl>
    <w:p w14:paraId="3E7384A3" w14:textId="77777777" w:rsidR="007A5359" w:rsidRDefault="007A5359" w:rsidP="007A5359">
      <w:pPr>
        <w:rPr>
          <w:rFonts w:eastAsiaTheme="majorEastAsia" w:cs="Arial"/>
          <w:sz w:val="48"/>
          <w:szCs w:val="26"/>
        </w:rPr>
      </w:pPr>
      <w:r>
        <w:br w:type="page"/>
      </w:r>
    </w:p>
    <w:p w14:paraId="60CE941C" w14:textId="3E91A9C2" w:rsidR="00A0785C" w:rsidRDefault="00A0785C" w:rsidP="00A0785C">
      <w:pPr>
        <w:keepNext/>
        <w:keepLines/>
        <w:pBdr>
          <w:bottom w:val="single" w:sz="4" w:space="4" w:color="auto"/>
        </w:pBdr>
        <w:spacing w:before="480" w:after="240"/>
        <w:outlineLvl w:val="1"/>
        <w:rPr>
          <w:rFonts w:eastAsiaTheme="majorEastAsia" w:cs="Arial"/>
          <w:bCs/>
          <w:sz w:val="48"/>
          <w:szCs w:val="26"/>
        </w:rPr>
      </w:pPr>
      <w:r>
        <w:rPr>
          <w:rFonts w:eastAsiaTheme="majorEastAsia" w:cs="Arial"/>
          <w:bCs/>
          <w:sz w:val="48"/>
          <w:szCs w:val="26"/>
        </w:rPr>
        <w:lastRenderedPageBreak/>
        <w:t xml:space="preserve">Pension Fund –Funding Strategy Statement </w:t>
      </w:r>
    </w:p>
    <w:p w14:paraId="12DDC4AB" w14:textId="0CB1F7FA" w:rsidR="00A0785C" w:rsidRDefault="00A0785C" w:rsidP="00A0785C">
      <w:pPr>
        <w:pStyle w:val="Heading3"/>
      </w:pPr>
      <w:r>
        <w:t>Contents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075"/>
        <w:gridCol w:w="1836"/>
      </w:tblGrid>
      <w:tr w:rsidR="00E06E99" w14:paraId="36C1E4EB" w14:textId="77777777" w:rsidTr="0057752F">
        <w:tc>
          <w:tcPr>
            <w:tcW w:w="8075" w:type="dxa"/>
          </w:tcPr>
          <w:p w14:paraId="41763855" w14:textId="26B5A553" w:rsidR="00E06E99" w:rsidRDefault="00F9314B" w:rsidP="0057752F">
            <w:r>
              <w:t>Welcome to Fife pension fund’s funding strategy statement</w:t>
            </w:r>
          </w:p>
        </w:tc>
        <w:tc>
          <w:tcPr>
            <w:tcW w:w="1836" w:type="dxa"/>
          </w:tcPr>
          <w:p w14:paraId="6F5BFB3A" w14:textId="77777777" w:rsidR="00E06E99" w:rsidRDefault="00E06E99" w:rsidP="0057752F">
            <w:pPr>
              <w:jc w:val="center"/>
            </w:pPr>
            <w:r>
              <w:t>3</w:t>
            </w:r>
          </w:p>
        </w:tc>
      </w:tr>
      <w:tr w:rsidR="00E06E99" w14:paraId="3BA1236E" w14:textId="77777777" w:rsidTr="0057752F">
        <w:tc>
          <w:tcPr>
            <w:tcW w:w="8075" w:type="dxa"/>
          </w:tcPr>
          <w:p w14:paraId="4777E728" w14:textId="40161272" w:rsidR="00E06E99" w:rsidRDefault="00F9314B" w:rsidP="0057752F">
            <w:r>
              <w:t>How does the fund calculate employer contributions?</w:t>
            </w:r>
          </w:p>
        </w:tc>
        <w:tc>
          <w:tcPr>
            <w:tcW w:w="1836" w:type="dxa"/>
          </w:tcPr>
          <w:p w14:paraId="5DEBD6ED" w14:textId="77777777" w:rsidR="00E06E99" w:rsidRDefault="00E06E99" w:rsidP="0057752F">
            <w:pPr>
              <w:jc w:val="center"/>
            </w:pPr>
            <w:r>
              <w:t>5</w:t>
            </w:r>
          </w:p>
        </w:tc>
      </w:tr>
      <w:tr w:rsidR="00E06E99" w14:paraId="6EC59B90" w14:textId="77777777" w:rsidTr="0057752F">
        <w:tc>
          <w:tcPr>
            <w:tcW w:w="8075" w:type="dxa"/>
          </w:tcPr>
          <w:p w14:paraId="2FD90AEE" w14:textId="72FEAC29" w:rsidR="00E06E99" w:rsidRDefault="00F9314B" w:rsidP="0057752F">
            <w:r>
              <w:t>What additional contributions may be payable?</w:t>
            </w:r>
          </w:p>
        </w:tc>
        <w:tc>
          <w:tcPr>
            <w:tcW w:w="1836" w:type="dxa"/>
          </w:tcPr>
          <w:p w14:paraId="34850961" w14:textId="11315988" w:rsidR="00E06E99" w:rsidRDefault="00BD48D5" w:rsidP="0057752F">
            <w:pPr>
              <w:jc w:val="center"/>
            </w:pPr>
            <w:r>
              <w:t>8</w:t>
            </w:r>
          </w:p>
        </w:tc>
      </w:tr>
      <w:tr w:rsidR="00E06E99" w14:paraId="3D0FB200" w14:textId="77777777" w:rsidTr="0057752F">
        <w:tc>
          <w:tcPr>
            <w:tcW w:w="8075" w:type="dxa"/>
          </w:tcPr>
          <w:p w14:paraId="2DEDCE89" w14:textId="04155A83" w:rsidR="00E06E99" w:rsidRDefault="00F9314B" w:rsidP="0057752F">
            <w:r>
              <w:t xml:space="preserve">How does the fund calculate assets and liabilities? </w:t>
            </w:r>
          </w:p>
        </w:tc>
        <w:tc>
          <w:tcPr>
            <w:tcW w:w="1836" w:type="dxa"/>
          </w:tcPr>
          <w:p w14:paraId="171934EA" w14:textId="1395F908" w:rsidR="00E06E99" w:rsidRDefault="00E82586" w:rsidP="0057752F">
            <w:pPr>
              <w:jc w:val="center"/>
            </w:pPr>
            <w:r>
              <w:t>9</w:t>
            </w:r>
          </w:p>
        </w:tc>
      </w:tr>
      <w:tr w:rsidR="00E06E99" w14:paraId="142C2FC7" w14:textId="77777777" w:rsidTr="0057752F">
        <w:tc>
          <w:tcPr>
            <w:tcW w:w="8075" w:type="dxa"/>
          </w:tcPr>
          <w:p w14:paraId="1E2C7E4C" w14:textId="07C9EA9B" w:rsidR="00E06E99" w:rsidRDefault="00F9314B" w:rsidP="0057752F">
            <w:r>
              <w:rPr>
                <w:noProof/>
              </w:rPr>
              <w:t>What happens when an employer joins the fund?</w:t>
            </w:r>
          </w:p>
        </w:tc>
        <w:tc>
          <w:tcPr>
            <w:tcW w:w="1836" w:type="dxa"/>
          </w:tcPr>
          <w:p w14:paraId="2BF5EA59" w14:textId="53C5D323" w:rsidR="00E06E99" w:rsidRDefault="00E82586" w:rsidP="0057752F">
            <w:pPr>
              <w:jc w:val="center"/>
            </w:pPr>
            <w:r>
              <w:t>10</w:t>
            </w:r>
          </w:p>
        </w:tc>
      </w:tr>
      <w:tr w:rsidR="00E06E99" w14:paraId="42F6900C" w14:textId="77777777" w:rsidTr="0057752F">
        <w:tc>
          <w:tcPr>
            <w:tcW w:w="8075" w:type="dxa"/>
          </w:tcPr>
          <w:p w14:paraId="7E3197CB" w14:textId="39AED3C0" w:rsidR="00E06E99" w:rsidRPr="002145F4" w:rsidRDefault="002145F4" w:rsidP="0057752F">
            <w:r>
              <w:t>What happens if an em</w:t>
            </w:r>
            <w:r w:rsidR="00FB39DC">
              <w:t>ployer has a bulk transfer?</w:t>
            </w:r>
          </w:p>
        </w:tc>
        <w:tc>
          <w:tcPr>
            <w:tcW w:w="1836" w:type="dxa"/>
          </w:tcPr>
          <w:p w14:paraId="4F9930EB" w14:textId="67EF59B1" w:rsidR="00E06E99" w:rsidRDefault="00A22B61" w:rsidP="0057752F">
            <w:pPr>
              <w:jc w:val="center"/>
            </w:pPr>
            <w:r>
              <w:t>11</w:t>
            </w:r>
          </w:p>
        </w:tc>
      </w:tr>
      <w:tr w:rsidR="00E06E99" w14:paraId="4E77F9CD" w14:textId="77777777" w:rsidTr="0057752F">
        <w:tc>
          <w:tcPr>
            <w:tcW w:w="8075" w:type="dxa"/>
          </w:tcPr>
          <w:p w14:paraId="0800ECB0" w14:textId="6C9C9F4C" w:rsidR="00E06E99" w:rsidRDefault="00FB39DC" w:rsidP="0057752F">
            <w:r>
              <w:t>What happens when an employer leaves the fund?</w:t>
            </w:r>
          </w:p>
        </w:tc>
        <w:tc>
          <w:tcPr>
            <w:tcW w:w="1836" w:type="dxa"/>
          </w:tcPr>
          <w:p w14:paraId="2684C4A0" w14:textId="0DAEC10E" w:rsidR="00E06E99" w:rsidRDefault="00A22B61" w:rsidP="0057752F">
            <w:pPr>
              <w:jc w:val="center"/>
            </w:pPr>
            <w:r>
              <w:t>12</w:t>
            </w:r>
          </w:p>
        </w:tc>
      </w:tr>
      <w:tr w:rsidR="00E06E99" w14:paraId="59FC251A" w14:textId="77777777" w:rsidTr="0057752F">
        <w:tc>
          <w:tcPr>
            <w:tcW w:w="8075" w:type="dxa"/>
          </w:tcPr>
          <w:p w14:paraId="6BB718D8" w14:textId="53BF9FB3" w:rsidR="00E06E99" w:rsidRDefault="00FB39DC" w:rsidP="0057752F">
            <w:r>
              <w:t>What are the statut</w:t>
            </w:r>
            <w:r w:rsidR="00695992">
              <w:t>ory reporting requirements?</w:t>
            </w:r>
          </w:p>
        </w:tc>
        <w:tc>
          <w:tcPr>
            <w:tcW w:w="1836" w:type="dxa"/>
          </w:tcPr>
          <w:p w14:paraId="6A40FB78" w14:textId="7B583852" w:rsidR="00E06E99" w:rsidRDefault="00A22B61" w:rsidP="0057752F">
            <w:pPr>
              <w:jc w:val="center"/>
            </w:pPr>
            <w:r>
              <w:t>14</w:t>
            </w:r>
          </w:p>
        </w:tc>
      </w:tr>
      <w:tr w:rsidR="00E06E99" w14:paraId="7505A22C" w14:textId="77777777" w:rsidTr="0057752F">
        <w:tc>
          <w:tcPr>
            <w:tcW w:w="8075" w:type="dxa"/>
          </w:tcPr>
          <w:p w14:paraId="39282F9C" w14:textId="2D7A9005" w:rsidR="00E06E99" w:rsidRPr="00695992" w:rsidRDefault="00695992" w:rsidP="0057752F">
            <w:pPr>
              <w:rPr>
                <w:b/>
                <w:bCs/>
              </w:rPr>
            </w:pPr>
            <w:r w:rsidRPr="00695992">
              <w:rPr>
                <w:b/>
                <w:bCs/>
              </w:rPr>
              <w:t xml:space="preserve">Appendices </w:t>
            </w:r>
          </w:p>
        </w:tc>
        <w:tc>
          <w:tcPr>
            <w:tcW w:w="1836" w:type="dxa"/>
          </w:tcPr>
          <w:p w14:paraId="55B7535B" w14:textId="795E878A" w:rsidR="00E06E99" w:rsidRDefault="00E06E99" w:rsidP="0057752F">
            <w:pPr>
              <w:jc w:val="center"/>
            </w:pPr>
          </w:p>
        </w:tc>
      </w:tr>
      <w:tr w:rsidR="00E06E99" w14:paraId="1A0ECA60" w14:textId="77777777" w:rsidTr="0057752F">
        <w:tc>
          <w:tcPr>
            <w:tcW w:w="8075" w:type="dxa"/>
          </w:tcPr>
          <w:p w14:paraId="742B6333" w14:textId="08CE2F42" w:rsidR="00E06E99" w:rsidRDefault="0000623C" w:rsidP="0057752F">
            <w:r>
              <w:t>Appendix A – The regulatory framework</w:t>
            </w:r>
          </w:p>
        </w:tc>
        <w:tc>
          <w:tcPr>
            <w:tcW w:w="1836" w:type="dxa"/>
          </w:tcPr>
          <w:p w14:paraId="3F89870D" w14:textId="0D28E071" w:rsidR="00E06E99" w:rsidRDefault="00A22B61" w:rsidP="0057752F">
            <w:pPr>
              <w:jc w:val="center"/>
            </w:pPr>
            <w:r>
              <w:t>15</w:t>
            </w:r>
          </w:p>
        </w:tc>
      </w:tr>
      <w:tr w:rsidR="0000623C" w14:paraId="6E4A95E1" w14:textId="77777777" w:rsidTr="0057752F">
        <w:tc>
          <w:tcPr>
            <w:tcW w:w="8075" w:type="dxa"/>
          </w:tcPr>
          <w:p w14:paraId="0030B24C" w14:textId="59C72741" w:rsidR="0000623C" w:rsidRDefault="0000623C" w:rsidP="0057752F">
            <w:r>
              <w:t>Appendix B – Roles and Responsibilities</w:t>
            </w:r>
          </w:p>
        </w:tc>
        <w:tc>
          <w:tcPr>
            <w:tcW w:w="1836" w:type="dxa"/>
          </w:tcPr>
          <w:p w14:paraId="6734C3DB" w14:textId="4EAD1EDA" w:rsidR="0000623C" w:rsidRDefault="00A22B61" w:rsidP="0057752F">
            <w:pPr>
              <w:jc w:val="center"/>
            </w:pPr>
            <w:r>
              <w:t>16</w:t>
            </w:r>
          </w:p>
        </w:tc>
      </w:tr>
      <w:tr w:rsidR="00E06E99" w14:paraId="1818CDBA" w14:textId="77777777" w:rsidTr="0057752F">
        <w:tc>
          <w:tcPr>
            <w:tcW w:w="8075" w:type="dxa"/>
          </w:tcPr>
          <w:p w14:paraId="447697BF" w14:textId="33521878" w:rsidR="00E06E99" w:rsidRDefault="0000623C" w:rsidP="0057752F">
            <w:r>
              <w:t>Appendix C – Risks and controls</w:t>
            </w:r>
          </w:p>
        </w:tc>
        <w:tc>
          <w:tcPr>
            <w:tcW w:w="1836" w:type="dxa"/>
          </w:tcPr>
          <w:p w14:paraId="14A8502F" w14:textId="4A703850" w:rsidR="00E06E99" w:rsidRDefault="00A22B61" w:rsidP="0057752F">
            <w:pPr>
              <w:jc w:val="center"/>
            </w:pPr>
            <w:r>
              <w:t>18</w:t>
            </w:r>
          </w:p>
        </w:tc>
      </w:tr>
      <w:tr w:rsidR="00E06E99" w14:paraId="65F6FA1F" w14:textId="77777777" w:rsidTr="0057752F">
        <w:tc>
          <w:tcPr>
            <w:tcW w:w="8075" w:type="dxa"/>
          </w:tcPr>
          <w:p w14:paraId="0A992A52" w14:textId="4E3BDEC4" w:rsidR="00E06E99" w:rsidRDefault="0000623C" w:rsidP="0057752F">
            <w:r>
              <w:t>Appendix D – Actuarial assumptions</w:t>
            </w:r>
          </w:p>
        </w:tc>
        <w:tc>
          <w:tcPr>
            <w:tcW w:w="1836" w:type="dxa"/>
          </w:tcPr>
          <w:p w14:paraId="30F945C9" w14:textId="59846B8E" w:rsidR="00E06E99" w:rsidRDefault="00A22B61" w:rsidP="0057752F">
            <w:pPr>
              <w:jc w:val="center"/>
            </w:pPr>
            <w:r>
              <w:t>1</w:t>
            </w:r>
            <w:r w:rsidR="00750067">
              <w:t>9</w:t>
            </w:r>
          </w:p>
        </w:tc>
      </w:tr>
      <w:tr w:rsidR="0000623C" w14:paraId="66F04974" w14:textId="77777777" w:rsidTr="0057752F">
        <w:tc>
          <w:tcPr>
            <w:tcW w:w="8075" w:type="dxa"/>
          </w:tcPr>
          <w:p w14:paraId="00FC0917" w14:textId="1A3ABAD3" w:rsidR="0000623C" w:rsidRDefault="0000623C" w:rsidP="0057752F">
            <w:r>
              <w:t>Appendix E – Policy on contribution reviews</w:t>
            </w:r>
          </w:p>
        </w:tc>
        <w:tc>
          <w:tcPr>
            <w:tcW w:w="1836" w:type="dxa"/>
          </w:tcPr>
          <w:p w14:paraId="5FF57758" w14:textId="69A4F8A7" w:rsidR="0000623C" w:rsidRDefault="00A22B61" w:rsidP="0057752F">
            <w:pPr>
              <w:jc w:val="center"/>
            </w:pPr>
            <w:r>
              <w:t>2</w:t>
            </w:r>
            <w:r w:rsidR="00750067">
              <w:t>3</w:t>
            </w:r>
          </w:p>
        </w:tc>
      </w:tr>
      <w:tr w:rsidR="0000623C" w14:paraId="2DCE017D" w14:textId="77777777" w:rsidTr="0057752F">
        <w:tc>
          <w:tcPr>
            <w:tcW w:w="8075" w:type="dxa"/>
          </w:tcPr>
          <w:p w14:paraId="2B3ECE52" w14:textId="4D6658E0" w:rsidR="0000623C" w:rsidRDefault="0000623C" w:rsidP="0057752F">
            <w:r>
              <w:t xml:space="preserve">Appendix F </w:t>
            </w:r>
            <w:r w:rsidR="00C01288">
              <w:t>– Policy on Bul</w:t>
            </w:r>
            <w:r w:rsidR="000D67BF">
              <w:t>k Transfers</w:t>
            </w:r>
          </w:p>
        </w:tc>
        <w:tc>
          <w:tcPr>
            <w:tcW w:w="1836" w:type="dxa"/>
          </w:tcPr>
          <w:p w14:paraId="237DD7D6" w14:textId="529BCE36" w:rsidR="0000623C" w:rsidRDefault="00A22B61" w:rsidP="0057752F">
            <w:pPr>
              <w:jc w:val="center"/>
            </w:pPr>
            <w:r>
              <w:t>2</w:t>
            </w:r>
            <w:r w:rsidR="00750067">
              <w:t>6</w:t>
            </w:r>
          </w:p>
        </w:tc>
      </w:tr>
      <w:tr w:rsidR="0000623C" w14:paraId="38E176B9" w14:textId="77777777" w:rsidTr="0057752F">
        <w:tc>
          <w:tcPr>
            <w:tcW w:w="8075" w:type="dxa"/>
          </w:tcPr>
          <w:p w14:paraId="531BDC98" w14:textId="109D9829" w:rsidR="0000623C" w:rsidRDefault="000D67BF" w:rsidP="0057752F">
            <w:r>
              <w:t>Appendix G – Policy on cessations</w:t>
            </w:r>
          </w:p>
        </w:tc>
        <w:tc>
          <w:tcPr>
            <w:tcW w:w="1836" w:type="dxa"/>
          </w:tcPr>
          <w:p w14:paraId="6EEA984B" w14:textId="055CC688" w:rsidR="0000623C" w:rsidRDefault="00A22B61" w:rsidP="0057752F">
            <w:pPr>
              <w:jc w:val="center"/>
            </w:pPr>
            <w:r>
              <w:t>3</w:t>
            </w:r>
            <w:r w:rsidR="00750067">
              <w:t>3</w:t>
            </w:r>
          </w:p>
        </w:tc>
      </w:tr>
    </w:tbl>
    <w:p w14:paraId="2352F8F0" w14:textId="095FF63D" w:rsidR="00E06E99" w:rsidRDefault="00E06E99" w:rsidP="00E06E99">
      <w:pPr>
        <w:tabs>
          <w:tab w:val="left" w:pos="426"/>
          <w:tab w:val="right" w:leader="dot" w:pos="9356"/>
        </w:tabs>
        <w:spacing w:before="240" w:after="240"/>
      </w:pPr>
    </w:p>
    <w:p w14:paraId="572337D5" w14:textId="77777777" w:rsidR="00F93097" w:rsidRDefault="00F93097" w:rsidP="00E06E99">
      <w:pPr>
        <w:tabs>
          <w:tab w:val="left" w:pos="426"/>
          <w:tab w:val="right" w:leader="dot" w:pos="9356"/>
        </w:tabs>
        <w:spacing w:before="240" w:after="240"/>
      </w:pPr>
    </w:p>
    <w:p w14:paraId="71E2C70D" w14:textId="77777777" w:rsidR="00F93097" w:rsidRDefault="00F93097" w:rsidP="00E06E99">
      <w:pPr>
        <w:tabs>
          <w:tab w:val="left" w:pos="426"/>
          <w:tab w:val="right" w:leader="dot" w:pos="9356"/>
        </w:tabs>
        <w:spacing w:before="240" w:after="240"/>
      </w:pPr>
    </w:p>
    <w:p w14:paraId="01A1BD69" w14:textId="77777777" w:rsidR="00F93097" w:rsidRDefault="00F93097" w:rsidP="00E06E99">
      <w:pPr>
        <w:tabs>
          <w:tab w:val="left" w:pos="426"/>
          <w:tab w:val="right" w:leader="dot" w:pos="9356"/>
        </w:tabs>
        <w:spacing w:before="240" w:after="240"/>
      </w:pPr>
    </w:p>
    <w:p w14:paraId="3492BD6B" w14:textId="77777777" w:rsidR="00F93097" w:rsidRDefault="00F93097" w:rsidP="00E06E99">
      <w:pPr>
        <w:tabs>
          <w:tab w:val="left" w:pos="426"/>
          <w:tab w:val="right" w:leader="dot" w:pos="9356"/>
        </w:tabs>
        <w:spacing w:before="240" w:after="240"/>
      </w:pPr>
    </w:p>
    <w:p w14:paraId="44F32386" w14:textId="77777777" w:rsidR="00F93097" w:rsidRPr="00E06E99" w:rsidRDefault="00F93097" w:rsidP="00E06E99">
      <w:pPr>
        <w:tabs>
          <w:tab w:val="left" w:pos="426"/>
          <w:tab w:val="right" w:leader="dot" w:pos="9356"/>
        </w:tabs>
        <w:spacing w:before="240" w:after="240"/>
      </w:pPr>
    </w:p>
    <w:p w14:paraId="45169C4D" w14:textId="77777777" w:rsidR="00F93097" w:rsidRPr="002A6F12" w:rsidRDefault="00F93097" w:rsidP="002A6F12">
      <w:pPr>
        <w:pStyle w:val="Heading1Num"/>
      </w:pPr>
      <w:bookmarkStart w:id="0" w:name="_Toc86162830"/>
      <w:bookmarkStart w:id="1" w:name="_Toc112068175"/>
      <w:r w:rsidRPr="002A6F12">
        <w:lastRenderedPageBreak/>
        <w:t xml:space="preserve">Welcome to Fife Pension Fund’s Funding Strategy </w:t>
      </w:r>
      <w:bookmarkStart w:id="2" w:name="StartOfDocument"/>
      <w:bookmarkEnd w:id="0"/>
      <w:bookmarkEnd w:id="1"/>
      <w:bookmarkEnd w:id="2"/>
      <w:r w:rsidRPr="002A6F12">
        <w:t xml:space="preserve">Statement </w:t>
      </w:r>
    </w:p>
    <w:p w14:paraId="0F771B81" w14:textId="77777777" w:rsidR="00F93097" w:rsidRPr="00F60460" w:rsidRDefault="00F93097" w:rsidP="00F93097">
      <w:pPr>
        <w:pStyle w:val="BodyTextGrey"/>
      </w:pPr>
      <w:r w:rsidRPr="00F60460">
        <w:t xml:space="preserve">This document sets out the funding strategy statement (FSS) for Fife </w:t>
      </w:r>
      <w:r>
        <w:t>P</w:t>
      </w:r>
      <w:r w:rsidRPr="00F60460">
        <w:t xml:space="preserve">ension </w:t>
      </w:r>
      <w:r>
        <w:t>F</w:t>
      </w:r>
      <w:r w:rsidRPr="00F60460">
        <w:t xml:space="preserve">und. </w:t>
      </w:r>
    </w:p>
    <w:p w14:paraId="6766DC0F" w14:textId="77777777" w:rsidR="00F93097" w:rsidRDefault="00F93097" w:rsidP="00F93097">
      <w:pPr>
        <w:pStyle w:val="BodyTextGrey"/>
      </w:pPr>
      <w:r w:rsidRPr="00F60460">
        <w:t xml:space="preserve">The Fife </w:t>
      </w:r>
      <w:r>
        <w:t>P</w:t>
      </w:r>
      <w:r w:rsidRPr="00F60460">
        <w:t xml:space="preserve">ension </w:t>
      </w:r>
      <w:r>
        <w:t>F</w:t>
      </w:r>
      <w:r w:rsidRPr="00F60460">
        <w:t xml:space="preserve">und is administered by Fife Council, known as the </w:t>
      </w:r>
      <w:r>
        <w:t>Administering Authority</w:t>
      </w:r>
      <w:r w:rsidRPr="00F60460">
        <w:t xml:space="preserve">. Fife </w:t>
      </w:r>
      <w:r>
        <w:t>C</w:t>
      </w:r>
      <w:r w:rsidRPr="00F60460">
        <w:t xml:space="preserve">ouncil worked with the </w:t>
      </w:r>
      <w:r>
        <w:t>Fund</w:t>
      </w:r>
      <w:r w:rsidRPr="00F60460">
        <w:t xml:space="preserve">’s actuary, Hymans Robertson, to prepare this FSS which is effective from </w:t>
      </w:r>
      <w:r>
        <w:t xml:space="preserve">01 April 2024. </w:t>
      </w:r>
    </w:p>
    <w:p w14:paraId="70150E21" w14:textId="77777777" w:rsidR="00F93097" w:rsidRPr="00066F40" w:rsidRDefault="00F93097" w:rsidP="00F93097">
      <w:pPr>
        <w:pStyle w:val="BodyTextGrey"/>
      </w:pPr>
      <w:r>
        <w:t xml:space="preserve">There’s a regulatory requirement for Fife Council to prepare an FSS. You can find out more about the regulatory framework in </w:t>
      </w:r>
      <w:r w:rsidRPr="00E82D8F">
        <w:t>Appendix A</w:t>
      </w:r>
      <w:r>
        <w:t>. If you have any queries about the FSS, contact john.mackie@fife.gov.uk</w:t>
      </w:r>
    </w:p>
    <w:p w14:paraId="72CBEA4B" w14:textId="77777777" w:rsidR="00F93097" w:rsidRPr="00F93097" w:rsidRDefault="00F93097" w:rsidP="00DB668C">
      <w:pPr>
        <w:pStyle w:val="Heading3Num"/>
      </w:pPr>
      <w:bookmarkStart w:id="3" w:name="_Toc86162831"/>
      <w:bookmarkStart w:id="4" w:name="_Toc16078777"/>
      <w:r w:rsidRPr="00F93097">
        <w:t>What is the Fife Pension Fund?</w:t>
      </w:r>
      <w:bookmarkEnd w:id="3"/>
      <w:r w:rsidRPr="00F93097">
        <w:t xml:space="preserve"> </w:t>
      </w:r>
      <w:bookmarkEnd w:id="4"/>
    </w:p>
    <w:p w14:paraId="13E82514" w14:textId="77777777" w:rsidR="00F93097" w:rsidRDefault="00F93097" w:rsidP="00F93097">
      <w:pPr>
        <w:pStyle w:val="BodyTextGrey"/>
      </w:pPr>
      <w:r w:rsidRPr="005D5484">
        <w:t xml:space="preserve">The </w:t>
      </w:r>
      <w:r>
        <w:t xml:space="preserve">Fife Pension Fund is part of the Scottish </w:t>
      </w:r>
      <w:r w:rsidRPr="005D5484">
        <w:t>Local Government Pension Scheme (LGPS)</w:t>
      </w:r>
      <w:r>
        <w:t xml:space="preserve">. You can find more information about the LGPS at </w:t>
      </w:r>
      <w:hyperlink r:id="rId14" w:history="1">
        <w:r w:rsidRPr="00BF76B8">
          <w:rPr>
            <w:rStyle w:val="Hyperlink"/>
          </w:rPr>
          <w:t>www.lgpsmember.org</w:t>
        </w:r>
      </w:hyperlink>
      <w:r>
        <w:t xml:space="preserve">. The Administering Authority runs the Fund on behalf of participating employers, their employees and current and future pensioners. You can find out more about roles and responsibilities in </w:t>
      </w:r>
      <w:r w:rsidRPr="00E82D8F">
        <w:t>Appendix B</w:t>
      </w:r>
      <w:r w:rsidRPr="00EE46A9">
        <w:t>.</w:t>
      </w:r>
    </w:p>
    <w:p w14:paraId="4BE31E0C" w14:textId="77777777" w:rsidR="00F93097" w:rsidRPr="00C43446" w:rsidRDefault="00F93097" w:rsidP="00DB668C">
      <w:pPr>
        <w:pStyle w:val="Heading3Num"/>
      </w:pPr>
      <w:bookmarkStart w:id="5" w:name="_Toc86162832"/>
      <w:bookmarkStart w:id="6" w:name="_Toc16078780"/>
      <w:r>
        <w:t>What are the f</w:t>
      </w:r>
      <w:r w:rsidRPr="00C43446">
        <w:t>unding strategy objectives</w:t>
      </w:r>
      <w:bookmarkEnd w:id="5"/>
      <w:r>
        <w:t xml:space="preserve">? </w:t>
      </w:r>
      <w:r w:rsidRPr="00C43446">
        <w:t xml:space="preserve">  </w:t>
      </w:r>
      <w:bookmarkEnd w:id="6"/>
    </w:p>
    <w:p w14:paraId="63048B86" w14:textId="77777777" w:rsidR="00F93097" w:rsidRDefault="00F93097" w:rsidP="00F93097">
      <w:pPr>
        <w:pStyle w:val="BodyTextGrey"/>
      </w:pPr>
      <w:r>
        <w:t xml:space="preserve">The funding strategy objectives are to:    </w:t>
      </w:r>
    </w:p>
    <w:p w14:paraId="4069735D" w14:textId="77777777" w:rsidR="00F93097" w:rsidRDefault="00F93097" w:rsidP="002A6F12">
      <w:pPr>
        <w:pStyle w:val="BodyTextGrey"/>
        <w:numPr>
          <w:ilvl w:val="0"/>
          <w:numId w:val="1"/>
        </w:numPr>
        <w:ind w:left="357" w:hanging="357"/>
      </w:pPr>
      <w:r>
        <w:t xml:space="preserve">take a prudent long-term view to secure the regulatory requirement for long-term solvency, with sufficient funds to pay benefits to members and their dependants </w:t>
      </w:r>
    </w:p>
    <w:p w14:paraId="287B8EE7" w14:textId="77777777" w:rsidR="00F93097" w:rsidRDefault="00F93097" w:rsidP="002A6F12">
      <w:pPr>
        <w:pStyle w:val="BulletHymans"/>
        <w:numPr>
          <w:ilvl w:val="0"/>
          <w:numId w:val="1"/>
        </w:numPr>
        <w:spacing w:before="120" w:after="120" w:line="240" w:lineRule="auto"/>
        <w:ind w:left="357" w:hanging="357"/>
      </w:pPr>
      <w:r>
        <w:t>use a balanced investment strategy to minimise long-term cash contributions from employers and meet the regulatory requirement for long-term cost efficiency</w:t>
      </w:r>
    </w:p>
    <w:p w14:paraId="2725FEC6" w14:textId="77777777" w:rsidR="00F93097" w:rsidRDefault="00F93097" w:rsidP="002A6F12">
      <w:pPr>
        <w:pStyle w:val="BulletHymans"/>
        <w:numPr>
          <w:ilvl w:val="0"/>
          <w:numId w:val="1"/>
        </w:numPr>
        <w:spacing w:before="120" w:after="120" w:line="240" w:lineRule="auto"/>
        <w:ind w:left="357" w:hanging="357"/>
      </w:pPr>
      <w:r>
        <w:t>where appropriate, ensure stable employer contribution rates</w:t>
      </w:r>
    </w:p>
    <w:p w14:paraId="77ABB703" w14:textId="77777777" w:rsidR="00F93097" w:rsidRDefault="00F93097" w:rsidP="002A6F12">
      <w:pPr>
        <w:pStyle w:val="BulletHymans"/>
        <w:numPr>
          <w:ilvl w:val="0"/>
          <w:numId w:val="1"/>
        </w:numPr>
        <w:spacing w:before="120" w:after="120" w:line="240" w:lineRule="auto"/>
        <w:ind w:left="357" w:hanging="357"/>
      </w:pPr>
      <w:r>
        <w:t xml:space="preserve">reflect different employers’ characteristics to set their contribution rates, using a transparent funding strategy </w:t>
      </w:r>
    </w:p>
    <w:p w14:paraId="1198DA11" w14:textId="77777777" w:rsidR="00F93097" w:rsidRDefault="00F93097" w:rsidP="002A6F12">
      <w:pPr>
        <w:pStyle w:val="BulletHymans"/>
        <w:numPr>
          <w:ilvl w:val="0"/>
          <w:numId w:val="1"/>
        </w:numPr>
        <w:spacing w:before="120" w:after="120" w:line="240" w:lineRule="auto"/>
        <w:ind w:left="357" w:hanging="357"/>
      </w:pPr>
      <w:r>
        <w:t>use reasonable measures to reduce the risk of an employer defaulting on its pension obligations.</w:t>
      </w:r>
    </w:p>
    <w:p w14:paraId="2FF267EA" w14:textId="77777777" w:rsidR="00F93097" w:rsidRPr="00C43446" w:rsidRDefault="00F93097" w:rsidP="00DB668C">
      <w:pPr>
        <w:pStyle w:val="Heading3Num"/>
      </w:pPr>
      <w:bookmarkStart w:id="7" w:name="_Toc86162833"/>
      <w:r w:rsidRPr="00C43446">
        <w:t>Who is the FSS for?</w:t>
      </w:r>
      <w:bookmarkEnd w:id="7"/>
      <w:r w:rsidRPr="00C43446">
        <w:t xml:space="preserve"> </w:t>
      </w:r>
    </w:p>
    <w:p w14:paraId="01893628" w14:textId="77777777" w:rsidR="00F93097" w:rsidRDefault="00F93097" w:rsidP="00F93097">
      <w:pPr>
        <w:pStyle w:val="BodyTextGrey"/>
      </w:pPr>
      <w:r>
        <w:t xml:space="preserve">The FSS is mainly for employers participating in the Fund, because it sets out how money will be collected from them to meet the Fund’s obligations to pay members’ benefits. </w:t>
      </w:r>
    </w:p>
    <w:p w14:paraId="07EF4E36" w14:textId="77777777" w:rsidR="00F93097" w:rsidRDefault="00F93097" w:rsidP="00F93097">
      <w:pPr>
        <w:pStyle w:val="BodyTextGrey"/>
      </w:pPr>
      <w:r>
        <w:t xml:space="preserve">Different types of employers participate in the Fund: </w:t>
      </w:r>
    </w:p>
    <w:p w14:paraId="02983182" w14:textId="77777777" w:rsidR="00F93097" w:rsidRPr="00F93097" w:rsidRDefault="00F93097" w:rsidP="00DB668C">
      <w:pPr>
        <w:pStyle w:val="Heading4"/>
      </w:pPr>
      <w:bookmarkStart w:id="8" w:name="_Toc86162834"/>
      <w:r w:rsidRPr="00F93097">
        <w:t>Scheduled bodies</w:t>
      </w:r>
      <w:bookmarkEnd w:id="8"/>
      <w:r w:rsidRPr="00F93097">
        <w:t xml:space="preserve"> </w:t>
      </w:r>
    </w:p>
    <w:p w14:paraId="23AFF692" w14:textId="77777777" w:rsidR="00F93097" w:rsidRDefault="00F93097" w:rsidP="00F93097">
      <w:pPr>
        <w:pStyle w:val="BodyTextGrey"/>
        <w:ind w:left="720"/>
      </w:pPr>
      <w:r>
        <w:t xml:space="preserve">Employers who are specified in a schedule to the LGPS regulations, including councils and employers like further education establishments. Scheduled bodies must give employees access to the LGPS if they can’t accrue benefits in another pension scheme, such as another public service pension scheme. </w:t>
      </w:r>
    </w:p>
    <w:p w14:paraId="309312ED" w14:textId="77777777" w:rsidR="00F93097" w:rsidRPr="00F93097" w:rsidRDefault="00F93097" w:rsidP="00DB668C">
      <w:pPr>
        <w:pStyle w:val="Heading4"/>
      </w:pPr>
      <w:bookmarkStart w:id="9" w:name="_Toc86162836"/>
      <w:r w:rsidRPr="00F93097">
        <w:t>Admission bodies</w:t>
      </w:r>
      <w:bookmarkEnd w:id="9"/>
      <w:r w:rsidRPr="00F93097">
        <w:t xml:space="preserve"> </w:t>
      </w:r>
    </w:p>
    <w:p w14:paraId="1549D2B3" w14:textId="77777777" w:rsidR="00F93097" w:rsidRDefault="00F93097" w:rsidP="00F93097">
      <w:pPr>
        <w:pStyle w:val="BodyTextGrey"/>
        <w:ind w:left="720"/>
      </w:pPr>
      <w:r>
        <w:t xml:space="preserve">Other employers can join through an admission agreement. The Fund can set participation criteria for them and can refuse entry if the requirements aren’t met. This type of employer includes contractors providing outsourced services like cleaning or catering to a scheduled body. </w:t>
      </w:r>
    </w:p>
    <w:p w14:paraId="4C24C886" w14:textId="77777777" w:rsidR="00F93097" w:rsidRDefault="00F93097" w:rsidP="00F93097">
      <w:pPr>
        <w:pStyle w:val="BodyTextGrey"/>
      </w:pPr>
      <w:r>
        <w:t xml:space="preserve">Some existing employers may be referred to as </w:t>
      </w:r>
      <w:r>
        <w:rPr>
          <w:b/>
          <w:bCs/>
        </w:rPr>
        <w:t>c</w:t>
      </w:r>
      <w:r w:rsidRPr="00196D1B">
        <w:rPr>
          <w:b/>
          <w:bCs/>
        </w:rPr>
        <w:t>ommunity admission bod</w:t>
      </w:r>
      <w:r>
        <w:rPr>
          <w:b/>
          <w:bCs/>
        </w:rPr>
        <w:t xml:space="preserve">ies </w:t>
      </w:r>
      <w:r>
        <w:t xml:space="preserve">(CABs). CABs are employers with a community of interest with another scheme employer. Others may be called </w:t>
      </w:r>
      <w:r w:rsidRPr="00196D1B">
        <w:rPr>
          <w:b/>
          <w:bCs/>
        </w:rPr>
        <w:t>transferee admission bod</w:t>
      </w:r>
      <w:r>
        <w:rPr>
          <w:b/>
          <w:bCs/>
        </w:rPr>
        <w:t xml:space="preserve">ies </w:t>
      </w:r>
      <w:r>
        <w:t>(TABs), that provide services for scheme employers. These terms aren’t defined under current regulations but remain in common use from previous regulations.</w:t>
      </w:r>
    </w:p>
    <w:p w14:paraId="3A2D944F" w14:textId="77777777" w:rsidR="00F93097" w:rsidRPr="00C43446" w:rsidRDefault="00F93097" w:rsidP="00DB668C">
      <w:pPr>
        <w:pStyle w:val="Heading3Num"/>
      </w:pPr>
      <w:bookmarkStart w:id="10" w:name="_Toc86162837"/>
      <w:bookmarkStart w:id="11" w:name="_Toc16078813"/>
      <w:r w:rsidRPr="00C43446">
        <w:t xml:space="preserve">How </w:t>
      </w:r>
      <w:r>
        <w:t>does</w:t>
      </w:r>
      <w:r w:rsidRPr="00C43446">
        <w:t xml:space="preserve"> the funding strategy link to the investment strategy?</w:t>
      </w:r>
      <w:bookmarkEnd w:id="10"/>
      <w:r w:rsidRPr="00C43446">
        <w:t xml:space="preserve">  </w:t>
      </w:r>
      <w:bookmarkEnd w:id="11"/>
    </w:p>
    <w:p w14:paraId="019F71C5" w14:textId="77777777" w:rsidR="00F93097" w:rsidRDefault="00F93097" w:rsidP="00F93097">
      <w:pPr>
        <w:pStyle w:val="BodyTextGrey"/>
        <w:rPr>
          <w:highlight w:val="lightGray"/>
        </w:rPr>
      </w:pPr>
      <w:r>
        <w:t xml:space="preserve">The funding strategy sets out how money will be collected from employers to meet the Fund’s obligations. Contributions, assets and other income are then invested according to an investment strategy set by the Administering Authority. You can find the investment strategy in the Fund’s Statement of Investment Principles at </w:t>
      </w:r>
      <w:hyperlink r:id="rId15" w:history="1">
        <w:r w:rsidRPr="00980CB2">
          <w:rPr>
            <w:rStyle w:val="Hyperlink"/>
          </w:rPr>
          <w:t>www.fifepensionfund.org</w:t>
        </w:r>
      </w:hyperlink>
      <w:r>
        <w:t>.</w:t>
      </w:r>
    </w:p>
    <w:p w14:paraId="5CDC4897" w14:textId="77777777" w:rsidR="00F93097" w:rsidRDefault="00F93097" w:rsidP="00F93097">
      <w:pPr>
        <w:pStyle w:val="BodyTextGrey"/>
      </w:pPr>
      <w:r>
        <w:lastRenderedPageBreak/>
        <w:t xml:space="preserve">The funding and investment strategies are closely linked. The Fund must be able to pay benefits when they are due – those payments are met from a combination of contributions (through the funding strategy) and asset returns and income (through the investment strategy). If investment returns or income fall short the Fund won’t be able to pay benefits, so higher contributions would be required from employers. </w:t>
      </w:r>
    </w:p>
    <w:p w14:paraId="09D9A147" w14:textId="77777777" w:rsidR="00F93097" w:rsidRPr="004A7AFA" w:rsidRDefault="00F93097" w:rsidP="00DB668C">
      <w:pPr>
        <w:pStyle w:val="Heading3Num"/>
      </w:pPr>
      <w:bookmarkStart w:id="12" w:name="_Toc16078815"/>
      <w:bookmarkStart w:id="13" w:name="_Toc86162838"/>
      <w:r w:rsidRPr="004A7AFA">
        <w:t>Does the funding strategy reflect the investment strategy?</w:t>
      </w:r>
      <w:bookmarkEnd w:id="12"/>
      <w:bookmarkEnd w:id="13"/>
    </w:p>
    <w:p w14:paraId="7D0CC641" w14:textId="77777777" w:rsidR="00F93097" w:rsidRDefault="00F93097" w:rsidP="00F93097">
      <w:pPr>
        <w:pStyle w:val="BodyTextGrey"/>
      </w:pPr>
      <w:r>
        <w:t>The funding policy is consistent with the investment strategy. F</w:t>
      </w:r>
      <w:r w:rsidRPr="00434C58">
        <w:t xml:space="preserve">uture investment return </w:t>
      </w:r>
      <w:r>
        <w:t xml:space="preserve">expectations are set with reference to the investment strategy, including </w:t>
      </w:r>
      <w:r w:rsidRPr="00434C58">
        <w:t>a margin for prudence</w:t>
      </w:r>
      <w:r>
        <w:t xml:space="preserve"> which is</w:t>
      </w:r>
      <w:r w:rsidRPr="00434C58">
        <w:t xml:space="preserve"> </w:t>
      </w:r>
      <w:r w:rsidRPr="000442D4">
        <w:t>consistent with the regulatory requirement that funds take a ‘prudent longer-term view’ of funding liabilities (see</w:t>
      </w:r>
      <w:r>
        <w:t xml:space="preserve"> </w:t>
      </w:r>
      <w:r w:rsidRPr="00E82D8F">
        <w:t>Appendix A</w:t>
      </w:r>
      <w:r>
        <w:t>)</w:t>
      </w:r>
    </w:p>
    <w:p w14:paraId="6E1EA4EB" w14:textId="77777777" w:rsidR="00F93097" w:rsidRPr="00056AB1" w:rsidRDefault="00F93097" w:rsidP="00DB668C">
      <w:pPr>
        <w:pStyle w:val="Heading3Num"/>
      </w:pPr>
      <w:r w:rsidRPr="00056AB1">
        <w:t xml:space="preserve">How is the funding strategy specific to the </w:t>
      </w:r>
      <w:r w:rsidRPr="00873F35">
        <w:t>Fife Pension Fund</w:t>
      </w:r>
      <w:r w:rsidRPr="00056AB1">
        <w:t>?</w:t>
      </w:r>
    </w:p>
    <w:p w14:paraId="28A9CE93" w14:textId="77777777" w:rsidR="00F93097" w:rsidRPr="00137BB9" w:rsidRDefault="00F93097" w:rsidP="00F93097">
      <w:pPr>
        <w:pStyle w:val="BodyTextGrey"/>
      </w:pPr>
      <w:r w:rsidRPr="00137BB9">
        <w:t xml:space="preserve">The funding strategy reflects the </w:t>
      </w:r>
      <w:r>
        <w:t>specific characteristics</w:t>
      </w:r>
      <w:r w:rsidRPr="00137BB9">
        <w:t xml:space="preserve"> of </w:t>
      </w:r>
      <w:r>
        <w:t xml:space="preserve">the Fund </w:t>
      </w:r>
      <w:r w:rsidRPr="00137BB9">
        <w:t>employer</w:t>
      </w:r>
      <w:r>
        <w:t>s and its own investment strategy</w:t>
      </w:r>
      <w:r w:rsidRPr="00137BB9">
        <w:t xml:space="preserve">. </w:t>
      </w:r>
    </w:p>
    <w:p w14:paraId="156692FB" w14:textId="77777777" w:rsidR="00F93097" w:rsidRDefault="00F93097" w:rsidP="00F93097">
      <w:pPr>
        <w:pStyle w:val="BodyTextGrey"/>
      </w:pPr>
    </w:p>
    <w:p w14:paraId="628AD19F" w14:textId="77777777" w:rsidR="00E82586" w:rsidRPr="00E82586" w:rsidRDefault="00E82586" w:rsidP="00E82586">
      <w:pPr>
        <w:rPr>
          <w:lang w:eastAsia="en-US"/>
        </w:rPr>
      </w:pPr>
    </w:p>
    <w:p w14:paraId="367DB471" w14:textId="77777777" w:rsidR="00E82586" w:rsidRDefault="00E82586" w:rsidP="00E82586">
      <w:pPr>
        <w:rPr>
          <w:rFonts w:cs="Arial"/>
          <w:iCs/>
          <w:color w:val="4B4B4B"/>
          <w:sz w:val="20"/>
          <w:szCs w:val="20"/>
          <w:lang w:eastAsia="en-US"/>
        </w:rPr>
      </w:pPr>
    </w:p>
    <w:p w14:paraId="41F3DEC3" w14:textId="52B46367" w:rsidR="00E82586" w:rsidRPr="00E82586" w:rsidRDefault="00E82586" w:rsidP="00E82586">
      <w:pPr>
        <w:tabs>
          <w:tab w:val="left" w:pos="8280"/>
        </w:tabs>
        <w:rPr>
          <w:lang w:eastAsia="en-US"/>
        </w:rPr>
      </w:pPr>
      <w:r>
        <w:rPr>
          <w:lang w:eastAsia="en-US"/>
        </w:rPr>
        <w:tab/>
      </w:r>
    </w:p>
    <w:p w14:paraId="1B2155CB" w14:textId="77777777" w:rsidR="00F93097" w:rsidRPr="00C43446" w:rsidRDefault="00F93097" w:rsidP="002A6F12">
      <w:pPr>
        <w:pStyle w:val="Heading1Num"/>
      </w:pPr>
      <w:bookmarkStart w:id="14" w:name="_Toc112068176"/>
      <w:bookmarkStart w:id="15" w:name="_Toc86162843"/>
      <w:r>
        <w:lastRenderedPageBreak/>
        <w:t>How does the Fund calculate employer contributions?</w:t>
      </w:r>
      <w:bookmarkEnd w:id="14"/>
      <w:r>
        <w:t xml:space="preserve"> </w:t>
      </w:r>
      <w:bookmarkEnd w:id="15"/>
    </w:p>
    <w:p w14:paraId="68E4FF78" w14:textId="77777777" w:rsidR="00F93097" w:rsidRPr="00DB668C" w:rsidRDefault="00F93097" w:rsidP="00DB668C">
      <w:pPr>
        <w:pStyle w:val="Heading3Num"/>
      </w:pPr>
      <w:bookmarkStart w:id="16" w:name="_Toc86162844"/>
      <w:r>
        <w:t>C</w:t>
      </w:r>
      <w:r w:rsidRPr="00DB668C">
        <w:t xml:space="preserve">alculating contribution rates </w:t>
      </w:r>
      <w:bookmarkEnd w:id="16"/>
    </w:p>
    <w:p w14:paraId="34299DAC" w14:textId="77777777" w:rsidR="00F93097" w:rsidRDefault="00F93097" w:rsidP="00F93097">
      <w:pPr>
        <w:pStyle w:val="BodyTextGrey"/>
      </w:pPr>
      <w:r>
        <w:t>Employee contribution rates are set by the LGPS regulations as they apply in Scotland.</w:t>
      </w:r>
    </w:p>
    <w:p w14:paraId="3B92ABB9" w14:textId="77777777" w:rsidR="00F93097" w:rsidRDefault="00F93097" w:rsidP="00F93097">
      <w:pPr>
        <w:pStyle w:val="BodyTextGrey"/>
      </w:pPr>
      <w:r>
        <w:t>Employer contributions are made up of two elements:</w:t>
      </w:r>
    </w:p>
    <w:p w14:paraId="04D2A2B1" w14:textId="77777777" w:rsidR="00F93097" w:rsidRDefault="00F93097" w:rsidP="00F9314B">
      <w:pPr>
        <w:pStyle w:val="BodyTextGrey"/>
        <w:numPr>
          <w:ilvl w:val="0"/>
          <w:numId w:val="12"/>
        </w:numPr>
        <w:ind w:left="567" w:hanging="567"/>
      </w:pPr>
      <w:r w:rsidRPr="00A63492">
        <w:rPr>
          <w:b/>
          <w:bCs/>
        </w:rPr>
        <w:t>the primary contribution rate</w:t>
      </w:r>
      <w:r>
        <w:t xml:space="preserve"> – contributions payable towards future benefits </w:t>
      </w:r>
    </w:p>
    <w:p w14:paraId="1FB8028C" w14:textId="214934CF" w:rsidR="00F93097" w:rsidRPr="00964375" w:rsidRDefault="00F93097" w:rsidP="00F9314B">
      <w:pPr>
        <w:pStyle w:val="BodyTextGrey"/>
        <w:numPr>
          <w:ilvl w:val="0"/>
          <w:numId w:val="12"/>
        </w:numPr>
        <w:ind w:left="567" w:hanging="567"/>
      </w:pPr>
      <w:r>
        <w:rPr>
          <w:b/>
          <w:bCs/>
        </w:rPr>
        <w:t>the secondary contribution rate</w:t>
      </w:r>
      <w:r>
        <w:t xml:space="preserve"> </w:t>
      </w:r>
      <w:r w:rsidRPr="00964375">
        <w:t xml:space="preserve">– the </w:t>
      </w:r>
      <w:r w:rsidR="00260122">
        <w:t xml:space="preserve">costs associated with </w:t>
      </w:r>
      <w:r w:rsidR="00E26770">
        <w:t xml:space="preserve">sufficiently funding benefits accrued up to the valuation date and any adjustments to deliver stability in the </w:t>
      </w:r>
      <w:r w:rsidR="00A0484B">
        <w:t xml:space="preserve">overall contribution rate. </w:t>
      </w:r>
    </w:p>
    <w:p w14:paraId="714668B5" w14:textId="77777777" w:rsidR="00F93097" w:rsidDel="00154536" w:rsidRDefault="00F93097" w:rsidP="00F93097">
      <w:pPr>
        <w:pStyle w:val="BodyTextGrey"/>
      </w:pPr>
      <w:r>
        <w:t xml:space="preserve">The primary rate also includes an allowance for the Fund’s expenses. </w:t>
      </w:r>
    </w:p>
    <w:p w14:paraId="352BDC45" w14:textId="77777777" w:rsidR="00F93097" w:rsidRDefault="00F93097" w:rsidP="00F93097">
      <w:pPr>
        <w:pStyle w:val="BodyTextGrey"/>
        <w:rPr>
          <w:rStyle w:val="Hyperlink"/>
        </w:rPr>
      </w:pPr>
      <w:r>
        <w:t xml:space="preserve">The Fund actuary uses a model to project each employer’s asset share over a range of future economic scenarios. The contribution rate takes each employer’s assets into account as well as the projected benefits due to their members. The value of the projected benefits is worked out using employer membership data and the assumptions in </w:t>
      </w:r>
      <w:r w:rsidRPr="00E82D8F">
        <w:t>Appendix</w:t>
      </w:r>
      <w:r>
        <w:rPr>
          <w:rStyle w:val="Hyperlink"/>
        </w:rPr>
        <w:t xml:space="preserve"> D.</w:t>
      </w:r>
    </w:p>
    <w:p w14:paraId="6EAE07EC" w14:textId="77777777" w:rsidR="00F93097" w:rsidRPr="00704B3B" w:rsidRDefault="00F93097" w:rsidP="00F93097">
      <w:pPr>
        <w:pStyle w:val="BodyTextGrey"/>
      </w:pPr>
      <w:r>
        <w:t>The total c</w:t>
      </w:r>
      <w:r w:rsidRPr="00704B3B">
        <w:t>ontribution rate</w:t>
      </w:r>
      <w:r>
        <w:t xml:space="preserve"> for each employer is then based on:   </w:t>
      </w:r>
    </w:p>
    <w:p w14:paraId="2572E62B" w14:textId="77777777" w:rsidR="00F93097" w:rsidRPr="00704B3B" w:rsidRDefault="00F93097" w:rsidP="00F9314B">
      <w:pPr>
        <w:pStyle w:val="BodyTextGrey"/>
        <w:numPr>
          <w:ilvl w:val="0"/>
          <w:numId w:val="2"/>
        </w:numPr>
      </w:pPr>
      <w:r>
        <w:rPr>
          <w:b/>
          <w:bCs/>
        </w:rPr>
        <w:t>t</w:t>
      </w:r>
      <w:r w:rsidRPr="00704B3B">
        <w:rPr>
          <w:b/>
          <w:bCs/>
        </w:rPr>
        <w:t>he funding target</w:t>
      </w:r>
      <w:r>
        <w:t xml:space="preserve"> – how </w:t>
      </w:r>
      <w:r w:rsidRPr="00704B3B">
        <w:t xml:space="preserve">much money </w:t>
      </w:r>
      <w:r>
        <w:t xml:space="preserve">the Fund aims </w:t>
      </w:r>
      <w:r w:rsidRPr="00704B3B">
        <w:t xml:space="preserve">to hold </w:t>
      </w:r>
      <w:r>
        <w:t xml:space="preserve">for each </w:t>
      </w:r>
      <w:r w:rsidRPr="00704B3B">
        <w:t>employer</w:t>
      </w:r>
    </w:p>
    <w:p w14:paraId="43F4B5CB" w14:textId="77777777" w:rsidR="00F93097" w:rsidRPr="00704B3B" w:rsidRDefault="00F93097" w:rsidP="00F9314B">
      <w:pPr>
        <w:pStyle w:val="BodyTextGrey"/>
        <w:numPr>
          <w:ilvl w:val="0"/>
          <w:numId w:val="2"/>
        </w:numPr>
      </w:pPr>
      <w:r>
        <w:rPr>
          <w:b/>
          <w:bCs/>
        </w:rPr>
        <w:t>t</w:t>
      </w:r>
      <w:r w:rsidRPr="00704B3B">
        <w:rPr>
          <w:b/>
          <w:bCs/>
        </w:rPr>
        <w:t>he time horizon</w:t>
      </w:r>
      <w:r>
        <w:t xml:space="preserve"> – the time over which the employer aims to </w:t>
      </w:r>
      <w:r w:rsidRPr="00704B3B">
        <w:t>achieve th</w:t>
      </w:r>
      <w:r>
        <w:t xml:space="preserve">e </w:t>
      </w:r>
      <w:r w:rsidRPr="00704B3B">
        <w:t xml:space="preserve">funding target </w:t>
      </w:r>
    </w:p>
    <w:p w14:paraId="1DEF131A" w14:textId="77777777" w:rsidR="00F93097" w:rsidRDefault="00F93097" w:rsidP="00F9314B">
      <w:pPr>
        <w:pStyle w:val="BodyTextGrey"/>
        <w:numPr>
          <w:ilvl w:val="0"/>
          <w:numId w:val="2"/>
        </w:numPr>
      </w:pPr>
      <w:r>
        <w:rPr>
          <w:b/>
          <w:bCs/>
        </w:rPr>
        <w:t>t</w:t>
      </w:r>
      <w:r w:rsidRPr="00704B3B">
        <w:rPr>
          <w:b/>
          <w:bCs/>
        </w:rPr>
        <w:t>he likelihood of success</w:t>
      </w:r>
      <w:r>
        <w:t xml:space="preserve"> – the proportion of modelled</w:t>
      </w:r>
      <w:r w:rsidRPr="00704B3B">
        <w:t xml:space="preserve"> scenarios </w:t>
      </w:r>
      <w:r>
        <w:t xml:space="preserve">where the funding target is met. </w:t>
      </w:r>
    </w:p>
    <w:p w14:paraId="77BC8490" w14:textId="77777777" w:rsidR="00F93097" w:rsidRDefault="00F93097" w:rsidP="00F93097">
      <w:pPr>
        <w:pStyle w:val="BodyTextGrey"/>
      </w:pPr>
      <w:r w:rsidRPr="00137BB9">
        <w:t>Th</w:t>
      </w:r>
      <w:r>
        <w:t xml:space="preserve">is approach </w:t>
      </w:r>
      <w:proofErr w:type="gramStart"/>
      <w:r w:rsidRPr="00137BB9">
        <w:t>takes into account</w:t>
      </w:r>
      <w:proofErr w:type="gramEnd"/>
      <w:r w:rsidRPr="00137BB9">
        <w:t xml:space="preserve"> the maturing profile of the membership when setting employer contribution rates.</w:t>
      </w:r>
    </w:p>
    <w:p w14:paraId="4567DE64" w14:textId="264A0184" w:rsidR="00F93097" w:rsidRDefault="00F93097" w:rsidP="00DB668C">
      <w:pPr>
        <w:pStyle w:val="Heading3Num"/>
      </w:pPr>
      <w:bookmarkStart w:id="17" w:name="contributioncalc"/>
      <w:bookmarkStart w:id="18" w:name="_Toc86162846"/>
      <w:bookmarkEnd w:id="17"/>
      <w:r w:rsidRPr="009508FE">
        <w:t>The</w:t>
      </w:r>
      <w:r>
        <w:t xml:space="preserve"> contribution rate calculation</w:t>
      </w:r>
      <w:bookmarkStart w:id="19" w:name="_Toc86162847"/>
      <w:bookmarkEnd w:id="18"/>
    </w:p>
    <w:p w14:paraId="3A7F6013" w14:textId="77777777" w:rsidR="002A6F12" w:rsidRPr="002A6F12" w:rsidRDefault="002A6F12" w:rsidP="002A6F12">
      <w:pPr>
        <w:pStyle w:val="BodyTextGrey"/>
        <w:rPr>
          <w:lang w:eastAsia="en-GB"/>
        </w:rPr>
      </w:pPr>
    </w:p>
    <w:p w14:paraId="3CCB87C8" w14:textId="77777777" w:rsidR="00F93097" w:rsidRDefault="00F93097" w:rsidP="00DB668C">
      <w:pPr>
        <w:pStyle w:val="Heading3Num"/>
        <w:pageBreakBefore/>
      </w:pPr>
      <w:r>
        <w:lastRenderedPageBreak/>
        <w:t>Table 1: contribution rate calculation for individual or pooled employers</w:t>
      </w:r>
      <w:bookmarkEnd w:id="19"/>
    </w:p>
    <w:tbl>
      <w:tblPr>
        <w:tblStyle w:val="TableGrid"/>
        <w:tblW w:w="9925" w:type="dxa"/>
        <w:tblBorders>
          <w:top w:val="none" w:sz="0" w:space="0" w:color="auto"/>
          <w:left w:val="none" w:sz="0" w:space="0" w:color="auto"/>
          <w:bottom w:val="none" w:sz="0" w:space="0" w:color="auto"/>
          <w:right w:val="none" w:sz="0" w:space="0" w:color="auto"/>
          <w:insideH w:val="single" w:sz="8" w:space="0" w:color="5B9BD5" w:themeColor="accent5"/>
          <w:insideV w:val="none" w:sz="0" w:space="0" w:color="auto"/>
        </w:tblBorders>
        <w:tblLayout w:type="fixed"/>
        <w:tblLook w:val="04A0" w:firstRow="1" w:lastRow="0" w:firstColumn="1" w:lastColumn="0" w:noHBand="0" w:noVBand="1"/>
      </w:tblPr>
      <w:tblGrid>
        <w:gridCol w:w="1417"/>
        <w:gridCol w:w="1417"/>
        <w:gridCol w:w="1417"/>
        <w:gridCol w:w="1418"/>
        <w:gridCol w:w="1417"/>
        <w:gridCol w:w="1417"/>
        <w:gridCol w:w="1422"/>
      </w:tblGrid>
      <w:tr w:rsidR="00F93097" w:rsidRPr="00FD3F78" w14:paraId="3B11FF50" w14:textId="77777777">
        <w:trPr>
          <w:tblHeader/>
        </w:trPr>
        <w:tc>
          <w:tcPr>
            <w:tcW w:w="1417" w:type="dxa"/>
            <w:tcBorders>
              <w:top w:val="nil"/>
              <w:bottom w:val="nil"/>
            </w:tcBorders>
            <w:shd w:val="clear" w:color="auto" w:fill="5B9BD5" w:themeFill="accent5"/>
            <w:vAlign w:val="center"/>
          </w:tcPr>
          <w:p w14:paraId="6724DB3F" w14:textId="77777777" w:rsidR="00F93097" w:rsidRPr="005F5420" w:rsidRDefault="00F93097">
            <w:pPr>
              <w:spacing w:after="20"/>
              <w:jc w:val="center"/>
              <w:rPr>
                <w:b/>
                <w:color w:val="44546A" w:themeColor="text2"/>
                <w:sz w:val="18"/>
                <w:szCs w:val="18"/>
                <w:lang w:eastAsia="en-US"/>
              </w:rPr>
            </w:pPr>
            <w:r w:rsidRPr="005F5420">
              <w:rPr>
                <w:b/>
                <w:color w:val="44546A" w:themeColor="text2"/>
                <w:sz w:val="18"/>
                <w:szCs w:val="18"/>
                <w:lang w:eastAsia="en-US"/>
              </w:rPr>
              <w:t>Type of employer*</w:t>
            </w:r>
          </w:p>
        </w:tc>
        <w:tc>
          <w:tcPr>
            <w:tcW w:w="4252" w:type="dxa"/>
            <w:gridSpan w:val="3"/>
            <w:tcBorders>
              <w:top w:val="nil"/>
              <w:bottom w:val="nil"/>
            </w:tcBorders>
            <w:shd w:val="clear" w:color="auto" w:fill="5B9BD5" w:themeFill="accent5"/>
            <w:vAlign w:val="center"/>
          </w:tcPr>
          <w:p w14:paraId="0BFBE6B1" w14:textId="77777777" w:rsidR="00F93097" w:rsidRPr="005F5420" w:rsidRDefault="00F93097">
            <w:pPr>
              <w:spacing w:after="20"/>
              <w:jc w:val="center"/>
              <w:rPr>
                <w:b/>
                <w:color w:val="44546A" w:themeColor="text2"/>
                <w:sz w:val="18"/>
                <w:szCs w:val="18"/>
                <w:lang w:eastAsia="en-US"/>
              </w:rPr>
            </w:pPr>
            <w:r w:rsidRPr="005F5420">
              <w:rPr>
                <w:b/>
                <w:color w:val="44546A" w:themeColor="text2"/>
                <w:sz w:val="18"/>
                <w:szCs w:val="18"/>
                <w:lang w:eastAsia="en-US"/>
              </w:rPr>
              <w:t>Scheduled bodies</w:t>
            </w:r>
          </w:p>
        </w:tc>
        <w:tc>
          <w:tcPr>
            <w:tcW w:w="2834" w:type="dxa"/>
            <w:gridSpan w:val="2"/>
            <w:tcBorders>
              <w:top w:val="nil"/>
              <w:bottom w:val="nil"/>
            </w:tcBorders>
            <w:shd w:val="clear" w:color="auto" w:fill="5B9BD5" w:themeFill="accent5"/>
            <w:vAlign w:val="center"/>
          </w:tcPr>
          <w:p w14:paraId="59CDCFDE" w14:textId="77777777" w:rsidR="00F93097" w:rsidRPr="005F5420" w:rsidRDefault="00F93097">
            <w:pPr>
              <w:spacing w:after="20"/>
              <w:jc w:val="center"/>
              <w:rPr>
                <w:b/>
                <w:color w:val="44546A" w:themeColor="text2"/>
                <w:sz w:val="18"/>
                <w:szCs w:val="18"/>
                <w:lang w:eastAsia="en-US"/>
              </w:rPr>
            </w:pPr>
            <w:r w:rsidRPr="005F5420">
              <w:rPr>
                <w:b/>
                <w:color w:val="44546A" w:themeColor="text2"/>
                <w:sz w:val="18"/>
                <w:szCs w:val="18"/>
                <w:lang w:eastAsia="en-US"/>
              </w:rPr>
              <w:t>CABs and designating employers</w:t>
            </w:r>
          </w:p>
        </w:tc>
        <w:tc>
          <w:tcPr>
            <w:tcW w:w="1422" w:type="dxa"/>
            <w:tcBorders>
              <w:top w:val="nil"/>
              <w:bottom w:val="nil"/>
            </w:tcBorders>
            <w:shd w:val="clear" w:color="auto" w:fill="5B9BD5" w:themeFill="accent5"/>
            <w:vAlign w:val="center"/>
          </w:tcPr>
          <w:p w14:paraId="47AC60FF" w14:textId="77777777" w:rsidR="00F93097" w:rsidRPr="005F5420" w:rsidRDefault="00F93097">
            <w:pPr>
              <w:spacing w:after="20"/>
              <w:jc w:val="center"/>
              <w:rPr>
                <w:b/>
                <w:color w:val="44546A" w:themeColor="text2"/>
                <w:sz w:val="18"/>
                <w:szCs w:val="18"/>
                <w:lang w:eastAsia="en-US"/>
              </w:rPr>
            </w:pPr>
            <w:r w:rsidRPr="005F5420">
              <w:rPr>
                <w:b/>
                <w:color w:val="44546A" w:themeColor="text2"/>
                <w:sz w:val="18"/>
                <w:szCs w:val="18"/>
                <w:lang w:eastAsia="en-US"/>
              </w:rPr>
              <w:t>TABs</w:t>
            </w:r>
          </w:p>
        </w:tc>
      </w:tr>
      <w:tr w:rsidR="00F93097" w:rsidRPr="00FD3F78" w14:paraId="61106736" w14:textId="77777777">
        <w:trPr>
          <w:trHeight w:val="398"/>
          <w:tblHeader/>
        </w:trPr>
        <w:tc>
          <w:tcPr>
            <w:tcW w:w="1417" w:type="dxa"/>
            <w:tcBorders>
              <w:top w:val="nil"/>
              <w:bottom w:val="nil"/>
            </w:tcBorders>
            <w:shd w:val="clear" w:color="auto" w:fill="E2EFD9" w:themeFill="accent6" w:themeFillTint="33"/>
            <w:vAlign w:val="center"/>
          </w:tcPr>
          <w:p w14:paraId="3C7C7063" w14:textId="77777777" w:rsidR="00F93097" w:rsidRPr="005F5420" w:rsidRDefault="00F93097">
            <w:pPr>
              <w:spacing w:after="20"/>
              <w:jc w:val="center"/>
              <w:rPr>
                <w:b/>
                <w:color w:val="455560"/>
                <w:sz w:val="18"/>
                <w:szCs w:val="18"/>
                <w:lang w:eastAsia="en-US"/>
              </w:rPr>
            </w:pPr>
            <w:r w:rsidRPr="005F5420">
              <w:rPr>
                <w:b/>
                <w:color w:val="455560"/>
                <w:sz w:val="18"/>
                <w:szCs w:val="18"/>
                <w:lang w:eastAsia="en-US"/>
              </w:rPr>
              <w:t>Sub-type</w:t>
            </w:r>
          </w:p>
        </w:tc>
        <w:tc>
          <w:tcPr>
            <w:tcW w:w="1417" w:type="dxa"/>
            <w:tcBorders>
              <w:top w:val="nil"/>
              <w:bottom w:val="nil"/>
            </w:tcBorders>
            <w:shd w:val="clear" w:color="auto" w:fill="E2EFD9" w:themeFill="accent6" w:themeFillTint="33"/>
            <w:vAlign w:val="center"/>
          </w:tcPr>
          <w:p w14:paraId="0CF05505" w14:textId="77777777" w:rsidR="00F93097" w:rsidRPr="005F5420" w:rsidRDefault="00F93097">
            <w:pPr>
              <w:spacing w:after="20"/>
              <w:jc w:val="center"/>
              <w:rPr>
                <w:b/>
                <w:color w:val="455560"/>
                <w:sz w:val="18"/>
                <w:szCs w:val="18"/>
                <w:lang w:eastAsia="en-US"/>
              </w:rPr>
            </w:pPr>
            <w:r w:rsidRPr="005F5420">
              <w:rPr>
                <w:b/>
                <w:color w:val="455560"/>
                <w:sz w:val="18"/>
                <w:szCs w:val="18"/>
                <w:lang w:eastAsia="en-US"/>
              </w:rPr>
              <w:t>Council</w:t>
            </w:r>
          </w:p>
        </w:tc>
        <w:tc>
          <w:tcPr>
            <w:tcW w:w="1417" w:type="dxa"/>
            <w:tcBorders>
              <w:top w:val="nil"/>
              <w:bottom w:val="nil"/>
            </w:tcBorders>
            <w:shd w:val="clear" w:color="auto" w:fill="E2EFD9" w:themeFill="accent6" w:themeFillTint="33"/>
            <w:vAlign w:val="center"/>
          </w:tcPr>
          <w:p w14:paraId="7AFA4621" w14:textId="77777777" w:rsidR="00F93097" w:rsidRPr="005F5420" w:rsidRDefault="00F93097">
            <w:pPr>
              <w:spacing w:after="20"/>
              <w:jc w:val="center"/>
              <w:rPr>
                <w:b/>
                <w:color w:val="455560"/>
                <w:sz w:val="18"/>
                <w:szCs w:val="18"/>
                <w:lang w:eastAsia="en-US"/>
              </w:rPr>
            </w:pPr>
            <w:r w:rsidRPr="005F5420">
              <w:rPr>
                <w:b/>
                <w:color w:val="455560"/>
                <w:sz w:val="18"/>
                <w:szCs w:val="18"/>
                <w:lang w:eastAsia="en-US"/>
              </w:rPr>
              <w:t>Police, Colleges</w:t>
            </w:r>
          </w:p>
        </w:tc>
        <w:tc>
          <w:tcPr>
            <w:tcW w:w="1418" w:type="dxa"/>
            <w:tcBorders>
              <w:top w:val="nil"/>
              <w:bottom w:val="nil"/>
            </w:tcBorders>
            <w:shd w:val="clear" w:color="auto" w:fill="E2EFD9" w:themeFill="accent6" w:themeFillTint="33"/>
            <w:vAlign w:val="center"/>
          </w:tcPr>
          <w:p w14:paraId="6E614B5C" w14:textId="77777777" w:rsidR="00F93097" w:rsidRPr="005F5420" w:rsidRDefault="00F93097">
            <w:pPr>
              <w:spacing w:after="20"/>
              <w:jc w:val="center"/>
              <w:rPr>
                <w:b/>
                <w:color w:val="455560"/>
                <w:sz w:val="18"/>
                <w:szCs w:val="18"/>
                <w:lang w:eastAsia="en-US"/>
              </w:rPr>
            </w:pPr>
            <w:r w:rsidRPr="005F5420">
              <w:rPr>
                <w:b/>
                <w:color w:val="455560"/>
                <w:sz w:val="18"/>
                <w:szCs w:val="18"/>
                <w:lang w:eastAsia="en-US"/>
              </w:rPr>
              <w:t>Fire,</w:t>
            </w:r>
            <w:r w:rsidRPr="00873F35">
              <w:rPr>
                <w:b/>
                <w:color w:val="455560"/>
                <w:sz w:val="18"/>
                <w:szCs w:val="18"/>
                <w:lang w:eastAsia="en-US"/>
              </w:rPr>
              <w:br/>
            </w:r>
            <w:r w:rsidRPr="005F5420">
              <w:rPr>
                <w:b/>
                <w:color w:val="455560"/>
                <w:sz w:val="18"/>
                <w:szCs w:val="18"/>
                <w:lang w:eastAsia="en-US"/>
              </w:rPr>
              <w:t>Council ALEO’s**</w:t>
            </w:r>
          </w:p>
        </w:tc>
        <w:tc>
          <w:tcPr>
            <w:tcW w:w="1417" w:type="dxa"/>
            <w:tcBorders>
              <w:top w:val="nil"/>
              <w:bottom w:val="nil"/>
            </w:tcBorders>
            <w:shd w:val="clear" w:color="auto" w:fill="E2EFD9" w:themeFill="accent6" w:themeFillTint="33"/>
            <w:vAlign w:val="center"/>
          </w:tcPr>
          <w:p w14:paraId="2594ED81" w14:textId="77777777" w:rsidR="00F93097" w:rsidRPr="005F5420" w:rsidRDefault="00F93097">
            <w:pPr>
              <w:spacing w:after="20"/>
              <w:jc w:val="center"/>
              <w:rPr>
                <w:b/>
                <w:color w:val="455560"/>
                <w:sz w:val="18"/>
                <w:szCs w:val="18"/>
                <w:lang w:eastAsia="en-US"/>
              </w:rPr>
            </w:pPr>
            <w:r w:rsidRPr="005F5420">
              <w:rPr>
                <w:b/>
                <w:color w:val="455560"/>
                <w:sz w:val="18"/>
                <w:szCs w:val="18"/>
                <w:lang w:eastAsia="en-US"/>
              </w:rPr>
              <w:t>Open to new entrants</w:t>
            </w:r>
          </w:p>
        </w:tc>
        <w:tc>
          <w:tcPr>
            <w:tcW w:w="1417" w:type="dxa"/>
            <w:tcBorders>
              <w:top w:val="nil"/>
              <w:bottom w:val="nil"/>
            </w:tcBorders>
            <w:shd w:val="clear" w:color="auto" w:fill="E2EFD9" w:themeFill="accent6" w:themeFillTint="33"/>
            <w:vAlign w:val="center"/>
          </w:tcPr>
          <w:p w14:paraId="5D6822B0" w14:textId="77777777" w:rsidR="00F93097" w:rsidRPr="005F5420" w:rsidRDefault="00F93097">
            <w:pPr>
              <w:spacing w:after="20"/>
              <w:jc w:val="center"/>
              <w:rPr>
                <w:b/>
                <w:color w:val="455560"/>
                <w:sz w:val="18"/>
                <w:szCs w:val="18"/>
                <w:lang w:eastAsia="en-US"/>
              </w:rPr>
            </w:pPr>
            <w:r w:rsidRPr="005F5420">
              <w:rPr>
                <w:b/>
                <w:color w:val="455560"/>
                <w:sz w:val="18"/>
                <w:szCs w:val="18"/>
                <w:lang w:eastAsia="en-US"/>
              </w:rPr>
              <w:t>Closed to new entrants</w:t>
            </w:r>
          </w:p>
        </w:tc>
        <w:tc>
          <w:tcPr>
            <w:tcW w:w="1418" w:type="dxa"/>
            <w:tcBorders>
              <w:top w:val="nil"/>
              <w:bottom w:val="nil"/>
            </w:tcBorders>
            <w:shd w:val="clear" w:color="auto" w:fill="E2EFD9" w:themeFill="accent6" w:themeFillTint="33"/>
            <w:vAlign w:val="center"/>
          </w:tcPr>
          <w:p w14:paraId="7F0795F2" w14:textId="77777777" w:rsidR="00F93097" w:rsidRPr="005F5420" w:rsidRDefault="00F93097">
            <w:pPr>
              <w:spacing w:after="20"/>
              <w:jc w:val="center"/>
              <w:rPr>
                <w:b/>
                <w:color w:val="455560"/>
                <w:sz w:val="18"/>
                <w:szCs w:val="18"/>
                <w:lang w:eastAsia="en-US"/>
              </w:rPr>
            </w:pPr>
            <w:r w:rsidRPr="005F5420">
              <w:rPr>
                <w:b/>
                <w:color w:val="455560"/>
                <w:sz w:val="18"/>
                <w:szCs w:val="18"/>
                <w:lang w:eastAsia="en-US"/>
              </w:rPr>
              <w:t>(all)</w:t>
            </w:r>
          </w:p>
        </w:tc>
      </w:tr>
      <w:tr w:rsidR="00F93097" w:rsidRPr="00FD3F78" w14:paraId="0D527B8F" w14:textId="77777777">
        <w:tc>
          <w:tcPr>
            <w:tcW w:w="1417" w:type="dxa"/>
            <w:vAlign w:val="center"/>
          </w:tcPr>
          <w:p w14:paraId="4D547E06" w14:textId="77777777" w:rsidR="00F93097" w:rsidRPr="005F5420" w:rsidRDefault="00F93097">
            <w:pPr>
              <w:spacing w:beforeLines="40" w:before="96" w:afterLines="80" w:after="192" w:line="220" w:lineRule="atLeast"/>
              <w:rPr>
                <w:b/>
                <w:color w:val="455560"/>
                <w:sz w:val="18"/>
                <w:szCs w:val="18"/>
                <w:lang w:eastAsia="en-US"/>
              </w:rPr>
            </w:pPr>
            <w:r w:rsidRPr="005F5420">
              <w:rPr>
                <w:b/>
                <w:color w:val="455560"/>
                <w:sz w:val="18"/>
                <w:szCs w:val="18"/>
                <w:lang w:eastAsia="en-US"/>
              </w:rPr>
              <w:t>Funding target*</w:t>
            </w:r>
          </w:p>
        </w:tc>
        <w:tc>
          <w:tcPr>
            <w:tcW w:w="1417" w:type="dxa"/>
            <w:vAlign w:val="center"/>
          </w:tcPr>
          <w:p w14:paraId="3D738C3D"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 xml:space="preserve">120% </w:t>
            </w:r>
            <w:r w:rsidRPr="005F5420">
              <w:rPr>
                <w:color w:val="455560"/>
                <w:sz w:val="18"/>
                <w:szCs w:val="18"/>
                <w:lang w:eastAsia="en-US"/>
              </w:rPr>
              <w:t>Ongoing</w:t>
            </w:r>
          </w:p>
        </w:tc>
        <w:tc>
          <w:tcPr>
            <w:tcW w:w="1417" w:type="dxa"/>
            <w:vAlign w:val="center"/>
          </w:tcPr>
          <w:p w14:paraId="14D7D4C2"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 xml:space="preserve">120% </w:t>
            </w:r>
            <w:r w:rsidRPr="005F5420">
              <w:rPr>
                <w:color w:val="455560"/>
                <w:sz w:val="18"/>
                <w:szCs w:val="18"/>
                <w:lang w:eastAsia="en-US"/>
              </w:rPr>
              <w:t>Ongoing</w:t>
            </w:r>
          </w:p>
        </w:tc>
        <w:tc>
          <w:tcPr>
            <w:tcW w:w="1418" w:type="dxa"/>
            <w:vAlign w:val="center"/>
          </w:tcPr>
          <w:p w14:paraId="3709CCBA"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 xml:space="preserve">120% </w:t>
            </w:r>
            <w:r w:rsidRPr="005F5420">
              <w:rPr>
                <w:color w:val="455560"/>
                <w:sz w:val="18"/>
                <w:szCs w:val="18"/>
                <w:lang w:eastAsia="en-US"/>
              </w:rPr>
              <w:t>Ongoing</w:t>
            </w:r>
          </w:p>
        </w:tc>
        <w:tc>
          <w:tcPr>
            <w:tcW w:w="1417" w:type="dxa"/>
            <w:vAlign w:val="center"/>
          </w:tcPr>
          <w:p w14:paraId="0DFFC288"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 xml:space="preserve">120% </w:t>
            </w:r>
            <w:r w:rsidRPr="005F5420">
              <w:rPr>
                <w:color w:val="455560"/>
                <w:sz w:val="18"/>
                <w:szCs w:val="18"/>
                <w:lang w:eastAsia="en-US"/>
              </w:rPr>
              <w:t>Ongoing</w:t>
            </w:r>
          </w:p>
        </w:tc>
        <w:tc>
          <w:tcPr>
            <w:tcW w:w="1417" w:type="dxa"/>
            <w:vAlign w:val="center"/>
          </w:tcPr>
          <w:p w14:paraId="27D68F69"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 xml:space="preserve">100% </w:t>
            </w:r>
            <w:r w:rsidRPr="005F5420">
              <w:rPr>
                <w:color w:val="455560"/>
                <w:sz w:val="18"/>
                <w:szCs w:val="18"/>
                <w:lang w:eastAsia="en-US"/>
              </w:rPr>
              <w:t>Low-risk exit</w:t>
            </w:r>
          </w:p>
        </w:tc>
        <w:tc>
          <w:tcPr>
            <w:tcW w:w="1418" w:type="dxa"/>
            <w:vAlign w:val="center"/>
          </w:tcPr>
          <w:p w14:paraId="6D4864DE"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 xml:space="preserve">100% </w:t>
            </w:r>
            <w:r w:rsidRPr="005F5420">
              <w:rPr>
                <w:color w:val="455560"/>
                <w:sz w:val="18"/>
                <w:szCs w:val="18"/>
                <w:lang w:eastAsia="en-US"/>
              </w:rPr>
              <w:t>Ongoing</w:t>
            </w:r>
          </w:p>
        </w:tc>
      </w:tr>
      <w:tr w:rsidR="00F93097" w:rsidRPr="00FD3F78" w14:paraId="53DBDA93" w14:textId="77777777">
        <w:tc>
          <w:tcPr>
            <w:tcW w:w="1417" w:type="dxa"/>
            <w:vAlign w:val="center"/>
          </w:tcPr>
          <w:p w14:paraId="305AC76F" w14:textId="77777777" w:rsidR="00F93097" w:rsidRPr="005F5420" w:rsidDel="00601845" w:rsidRDefault="00F93097">
            <w:pPr>
              <w:spacing w:beforeLines="40" w:before="96" w:afterLines="80" w:after="192" w:line="220" w:lineRule="atLeast"/>
              <w:rPr>
                <w:b/>
                <w:color w:val="455560"/>
                <w:sz w:val="18"/>
                <w:szCs w:val="18"/>
                <w:lang w:eastAsia="en-US"/>
              </w:rPr>
            </w:pPr>
            <w:r w:rsidRPr="005F5420">
              <w:rPr>
                <w:b/>
                <w:color w:val="455560"/>
                <w:sz w:val="18"/>
                <w:szCs w:val="18"/>
                <w:lang w:eastAsia="en-US"/>
              </w:rPr>
              <w:t>Minimum likelihood of success</w:t>
            </w:r>
          </w:p>
        </w:tc>
        <w:tc>
          <w:tcPr>
            <w:tcW w:w="1417" w:type="dxa"/>
            <w:vAlign w:val="center"/>
          </w:tcPr>
          <w:p w14:paraId="25A1C6CA"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80%</w:t>
            </w:r>
          </w:p>
        </w:tc>
        <w:tc>
          <w:tcPr>
            <w:tcW w:w="1417" w:type="dxa"/>
            <w:vAlign w:val="center"/>
          </w:tcPr>
          <w:p w14:paraId="4A540893"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80%</w:t>
            </w:r>
          </w:p>
        </w:tc>
        <w:tc>
          <w:tcPr>
            <w:tcW w:w="1418" w:type="dxa"/>
            <w:vAlign w:val="center"/>
          </w:tcPr>
          <w:p w14:paraId="14D9DD66"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80%</w:t>
            </w:r>
          </w:p>
        </w:tc>
        <w:tc>
          <w:tcPr>
            <w:tcW w:w="1417" w:type="dxa"/>
            <w:vAlign w:val="center"/>
          </w:tcPr>
          <w:p w14:paraId="050F5E69"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80%</w:t>
            </w:r>
          </w:p>
        </w:tc>
        <w:tc>
          <w:tcPr>
            <w:tcW w:w="1417" w:type="dxa"/>
            <w:vAlign w:val="center"/>
          </w:tcPr>
          <w:p w14:paraId="39A59925"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50%</w:t>
            </w:r>
          </w:p>
        </w:tc>
        <w:tc>
          <w:tcPr>
            <w:tcW w:w="1418" w:type="dxa"/>
            <w:vAlign w:val="center"/>
          </w:tcPr>
          <w:p w14:paraId="20F0E05C"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80%</w:t>
            </w:r>
          </w:p>
        </w:tc>
      </w:tr>
      <w:tr w:rsidR="00F93097" w:rsidRPr="00FD3F78" w14:paraId="42EC3023" w14:textId="77777777">
        <w:tc>
          <w:tcPr>
            <w:tcW w:w="1417" w:type="dxa"/>
            <w:vAlign w:val="center"/>
          </w:tcPr>
          <w:p w14:paraId="345D193D" w14:textId="77777777" w:rsidR="00F93097" w:rsidRPr="005F5420" w:rsidRDefault="00F93097">
            <w:pPr>
              <w:spacing w:beforeLines="40" w:before="96" w:afterLines="80" w:after="192" w:line="220" w:lineRule="atLeast"/>
              <w:rPr>
                <w:b/>
                <w:color w:val="455560"/>
                <w:sz w:val="18"/>
                <w:szCs w:val="18"/>
                <w:lang w:eastAsia="en-US"/>
              </w:rPr>
            </w:pPr>
            <w:r w:rsidRPr="005F5420">
              <w:rPr>
                <w:b/>
                <w:color w:val="455560"/>
                <w:sz w:val="18"/>
                <w:szCs w:val="18"/>
                <w:lang w:eastAsia="en-US"/>
              </w:rPr>
              <w:t>Maximum time horizon</w:t>
            </w:r>
          </w:p>
        </w:tc>
        <w:tc>
          <w:tcPr>
            <w:tcW w:w="1417" w:type="dxa"/>
            <w:vAlign w:val="center"/>
          </w:tcPr>
          <w:p w14:paraId="729DF8D9"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18 years</w:t>
            </w:r>
          </w:p>
        </w:tc>
        <w:tc>
          <w:tcPr>
            <w:tcW w:w="1417" w:type="dxa"/>
            <w:vAlign w:val="center"/>
          </w:tcPr>
          <w:p w14:paraId="316085CF"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18 years</w:t>
            </w:r>
          </w:p>
        </w:tc>
        <w:tc>
          <w:tcPr>
            <w:tcW w:w="1418" w:type="dxa"/>
            <w:vAlign w:val="center"/>
          </w:tcPr>
          <w:p w14:paraId="5EFA1C1B"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18 years</w:t>
            </w:r>
          </w:p>
        </w:tc>
        <w:tc>
          <w:tcPr>
            <w:tcW w:w="1417" w:type="dxa"/>
            <w:vAlign w:val="center"/>
          </w:tcPr>
          <w:p w14:paraId="3C1523B5"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&gt;20 members:18 years</w:t>
            </w:r>
          </w:p>
          <w:p w14:paraId="12079FD0"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&lt;20 members; future working lifetime</w:t>
            </w:r>
          </w:p>
          <w:p w14:paraId="498AA5DC" w14:textId="77777777" w:rsidR="00F93097" w:rsidRPr="005F5420" w:rsidRDefault="00F93097">
            <w:pPr>
              <w:spacing w:beforeLines="40" w:before="96" w:afterLines="80" w:after="192" w:line="220" w:lineRule="atLeast"/>
              <w:jc w:val="center"/>
              <w:rPr>
                <w:color w:val="455560"/>
                <w:sz w:val="18"/>
                <w:szCs w:val="18"/>
                <w:lang w:eastAsia="en-US"/>
              </w:rPr>
            </w:pPr>
          </w:p>
        </w:tc>
        <w:tc>
          <w:tcPr>
            <w:tcW w:w="1417" w:type="dxa"/>
            <w:vAlign w:val="center"/>
          </w:tcPr>
          <w:p w14:paraId="6709C4B5"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F</w:t>
            </w:r>
            <w:r w:rsidRPr="005F5420">
              <w:rPr>
                <w:color w:val="455560"/>
                <w:sz w:val="18"/>
                <w:szCs w:val="18"/>
                <w:lang w:eastAsia="en-US"/>
              </w:rPr>
              <w:t>uture working lifetime</w:t>
            </w:r>
          </w:p>
        </w:tc>
        <w:tc>
          <w:tcPr>
            <w:tcW w:w="1418" w:type="dxa"/>
            <w:vAlign w:val="center"/>
          </w:tcPr>
          <w:p w14:paraId="7CCC4125"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Remaining contract period</w:t>
            </w:r>
          </w:p>
        </w:tc>
      </w:tr>
      <w:tr w:rsidR="00F93097" w:rsidRPr="005F5420" w14:paraId="189FAD25" w14:textId="77777777">
        <w:tc>
          <w:tcPr>
            <w:tcW w:w="1417" w:type="dxa"/>
            <w:vAlign w:val="center"/>
          </w:tcPr>
          <w:p w14:paraId="79FF86C1" w14:textId="77777777" w:rsidR="00F93097" w:rsidRPr="005F5420" w:rsidRDefault="00F93097">
            <w:pPr>
              <w:spacing w:beforeLines="40" w:before="96" w:afterLines="80" w:after="192" w:line="220" w:lineRule="atLeast"/>
              <w:rPr>
                <w:b/>
                <w:color w:val="455560"/>
                <w:sz w:val="18"/>
                <w:szCs w:val="18"/>
                <w:lang w:eastAsia="en-US"/>
              </w:rPr>
            </w:pPr>
            <w:r w:rsidRPr="005F5420">
              <w:rPr>
                <w:b/>
                <w:color w:val="455560"/>
                <w:sz w:val="18"/>
                <w:szCs w:val="18"/>
                <w:lang w:eastAsia="en-US"/>
              </w:rPr>
              <w:t>Primary rate approach</w:t>
            </w:r>
          </w:p>
        </w:tc>
        <w:tc>
          <w:tcPr>
            <w:tcW w:w="8504" w:type="dxa"/>
            <w:gridSpan w:val="6"/>
            <w:vAlign w:val="center"/>
          </w:tcPr>
          <w:p w14:paraId="5AE1845C"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 xml:space="preserve">The </w:t>
            </w:r>
            <w:r w:rsidRPr="00873F35">
              <w:rPr>
                <w:color w:val="455560"/>
                <w:sz w:val="18"/>
                <w:szCs w:val="18"/>
                <w:lang w:eastAsia="en-US"/>
              </w:rPr>
              <w:t xml:space="preserve">primary </w:t>
            </w:r>
            <w:r w:rsidRPr="005F5420">
              <w:rPr>
                <w:color w:val="455560"/>
                <w:sz w:val="18"/>
                <w:szCs w:val="18"/>
                <w:lang w:eastAsia="en-US"/>
              </w:rPr>
              <w:t>contribution</w:t>
            </w:r>
            <w:r>
              <w:rPr>
                <w:color w:val="455560"/>
                <w:sz w:val="18"/>
                <w:szCs w:val="18"/>
                <w:lang w:eastAsia="en-US"/>
              </w:rPr>
              <w:t xml:space="preserve"> rate is that </w:t>
            </w:r>
            <w:r w:rsidRPr="005F5420">
              <w:rPr>
                <w:color w:val="455560"/>
                <w:sz w:val="18"/>
                <w:szCs w:val="18"/>
                <w:lang w:eastAsia="en-US"/>
              </w:rPr>
              <w:t>sufficient to meet the cost of benefits earned in the future with the required likelihood of success at the end of the time horizon.</w:t>
            </w:r>
          </w:p>
        </w:tc>
      </w:tr>
      <w:tr w:rsidR="00F93097" w:rsidRPr="00FD3F78" w14:paraId="0F4A8A88" w14:textId="77777777">
        <w:tc>
          <w:tcPr>
            <w:tcW w:w="1417" w:type="dxa"/>
            <w:vAlign w:val="center"/>
          </w:tcPr>
          <w:p w14:paraId="40C21140" w14:textId="77777777" w:rsidR="00F93097" w:rsidRPr="005F5420" w:rsidRDefault="00F93097">
            <w:pPr>
              <w:spacing w:beforeLines="40" w:before="96" w:afterLines="80" w:after="192" w:line="220" w:lineRule="atLeast"/>
              <w:rPr>
                <w:b/>
                <w:color w:val="455560"/>
                <w:sz w:val="18"/>
                <w:szCs w:val="18"/>
                <w:lang w:eastAsia="en-US"/>
              </w:rPr>
            </w:pPr>
            <w:r w:rsidRPr="005F5420">
              <w:rPr>
                <w:b/>
                <w:color w:val="455560"/>
                <w:sz w:val="18"/>
                <w:szCs w:val="18"/>
                <w:lang w:eastAsia="en-US"/>
              </w:rPr>
              <w:t xml:space="preserve">Secondary rate </w:t>
            </w:r>
          </w:p>
        </w:tc>
        <w:tc>
          <w:tcPr>
            <w:tcW w:w="1417" w:type="dxa"/>
            <w:vAlign w:val="center"/>
          </w:tcPr>
          <w:p w14:paraId="701C8F8D"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 of payroll</w:t>
            </w:r>
          </w:p>
        </w:tc>
        <w:tc>
          <w:tcPr>
            <w:tcW w:w="1417" w:type="dxa"/>
            <w:vAlign w:val="center"/>
          </w:tcPr>
          <w:p w14:paraId="12BC031F"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 of payroll</w:t>
            </w:r>
          </w:p>
        </w:tc>
        <w:tc>
          <w:tcPr>
            <w:tcW w:w="1418" w:type="dxa"/>
            <w:vAlign w:val="center"/>
          </w:tcPr>
          <w:p w14:paraId="51D06925"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 of payroll</w:t>
            </w:r>
          </w:p>
        </w:tc>
        <w:tc>
          <w:tcPr>
            <w:tcW w:w="1417" w:type="dxa"/>
            <w:vAlign w:val="center"/>
          </w:tcPr>
          <w:p w14:paraId="435E82B6"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 of payroll</w:t>
            </w:r>
          </w:p>
        </w:tc>
        <w:tc>
          <w:tcPr>
            <w:tcW w:w="1417" w:type="dxa"/>
            <w:vAlign w:val="center"/>
          </w:tcPr>
          <w:p w14:paraId="1BC96AE4"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 of payroll/</w:t>
            </w:r>
            <w:r w:rsidRPr="00873F35">
              <w:rPr>
                <w:color w:val="455560"/>
                <w:sz w:val="18"/>
                <w:szCs w:val="18"/>
                <w:lang w:eastAsia="en-US"/>
              </w:rPr>
              <w:t xml:space="preserve"> </w:t>
            </w:r>
            <w:r w:rsidRPr="005F5420">
              <w:rPr>
                <w:color w:val="455560"/>
                <w:sz w:val="18"/>
                <w:szCs w:val="18"/>
                <w:lang w:eastAsia="en-US"/>
              </w:rPr>
              <w:t>monetary amount</w:t>
            </w:r>
          </w:p>
        </w:tc>
        <w:tc>
          <w:tcPr>
            <w:tcW w:w="1418" w:type="dxa"/>
            <w:vAlign w:val="center"/>
          </w:tcPr>
          <w:p w14:paraId="19168073"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 of payroll</w:t>
            </w:r>
          </w:p>
        </w:tc>
      </w:tr>
      <w:tr w:rsidR="00F93097" w:rsidRPr="00FD3F78" w14:paraId="0A6952B7" w14:textId="77777777">
        <w:tc>
          <w:tcPr>
            <w:tcW w:w="1417" w:type="dxa"/>
            <w:vAlign w:val="center"/>
          </w:tcPr>
          <w:p w14:paraId="39B13336" w14:textId="77777777" w:rsidR="00F93097" w:rsidRPr="005F5420" w:rsidRDefault="00F93097">
            <w:pPr>
              <w:spacing w:beforeLines="40" w:before="96" w:afterLines="80" w:after="192" w:line="220" w:lineRule="atLeast"/>
              <w:rPr>
                <w:b/>
                <w:color w:val="455560"/>
                <w:sz w:val="18"/>
                <w:szCs w:val="18"/>
                <w:lang w:eastAsia="en-US"/>
              </w:rPr>
            </w:pPr>
            <w:r w:rsidRPr="005F5420">
              <w:rPr>
                <w:b/>
                <w:color w:val="455560"/>
                <w:sz w:val="18"/>
                <w:szCs w:val="18"/>
                <w:lang w:eastAsia="en-US"/>
              </w:rPr>
              <w:t>Stabilised contribution rate?</w:t>
            </w:r>
          </w:p>
        </w:tc>
        <w:tc>
          <w:tcPr>
            <w:tcW w:w="1417" w:type="dxa"/>
            <w:vAlign w:val="center"/>
          </w:tcPr>
          <w:p w14:paraId="5E06741C" w14:textId="77777777" w:rsidR="00F93097" w:rsidRPr="005F5420" w:rsidRDefault="00F93097">
            <w:pPr>
              <w:spacing w:beforeLines="40" w:before="96" w:afterLines="80" w:after="192" w:line="220" w:lineRule="atLeast"/>
              <w:jc w:val="center"/>
              <w:rPr>
                <w:color w:val="455560"/>
                <w:sz w:val="18"/>
                <w:szCs w:val="18"/>
                <w:lang w:eastAsia="en-US"/>
              </w:rPr>
            </w:pPr>
            <w:r>
              <w:rPr>
                <w:color w:val="455560"/>
                <w:sz w:val="18"/>
                <w:szCs w:val="18"/>
                <w:lang w:eastAsia="en-US"/>
              </w:rPr>
              <w:t>Explicit stability mechanism</w:t>
            </w:r>
          </w:p>
        </w:tc>
        <w:tc>
          <w:tcPr>
            <w:tcW w:w="1417" w:type="dxa"/>
            <w:vAlign w:val="center"/>
          </w:tcPr>
          <w:p w14:paraId="38A139AD" w14:textId="77777777" w:rsidR="00F93097" w:rsidRPr="005F5420" w:rsidRDefault="00F93097">
            <w:pPr>
              <w:spacing w:beforeLines="40" w:before="96" w:afterLines="80" w:after="192" w:line="220" w:lineRule="atLeast"/>
              <w:jc w:val="center"/>
              <w:rPr>
                <w:color w:val="455560"/>
                <w:sz w:val="18"/>
                <w:szCs w:val="18"/>
                <w:lang w:eastAsia="en-US"/>
              </w:rPr>
            </w:pPr>
            <w:r>
              <w:rPr>
                <w:color w:val="455560"/>
                <w:sz w:val="18"/>
                <w:szCs w:val="18"/>
                <w:lang w:eastAsia="en-US"/>
              </w:rPr>
              <w:t>Explicit stability mechanism</w:t>
            </w:r>
          </w:p>
        </w:tc>
        <w:tc>
          <w:tcPr>
            <w:tcW w:w="1418" w:type="dxa"/>
            <w:vAlign w:val="center"/>
          </w:tcPr>
          <w:p w14:paraId="1C2E8415" w14:textId="77777777" w:rsidR="00F93097" w:rsidRPr="005F5420" w:rsidRDefault="00F93097">
            <w:pPr>
              <w:spacing w:beforeLines="40" w:before="96" w:afterLines="80" w:after="192" w:line="220" w:lineRule="atLeast"/>
              <w:jc w:val="center"/>
              <w:rPr>
                <w:color w:val="455560"/>
                <w:sz w:val="18"/>
                <w:szCs w:val="18"/>
                <w:lang w:eastAsia="en-US"/>
              </w:rPr>
            </w:pPr>
            <w:r>
              <w:rPr>
                <w:color w:val="455560"/>
                <w:sz w:val="18"/>
                <w:szCs w:val="18"/>
                <w:lang w:eastAsia="en-US"/>
              </w:rPr>
              <w:t>May follow stability mechanism</w:t>
            </w:r>
          </w:p>
        </w:tc>
        <w:tc>
          <w:tcPr>
            <w:tcW w:w="1417" w:type="dxa"/>
            <w:vAlign w:val="center"/>
          </w:tcPr>
          <w:p w14:paraId="3F8DD220" w14:textId="77777777" w:rsidR="00F93097" w:rsidRPr="005F5420" w:rsidRDefault="00F93097">
            <w:pPr>
              <w:spacing w:beforeLines="40" w:before="96" w:afterLines="80" w:after="192" w:line="220" w:lineRule="atLeast"/>
              <w:jc w:val="center"/>
              <w:rPr>
                <w:color w:val="455560"/>
                <w:sz w:val="18"/>
                <w:szCs w:val="18"/>
                <w:lang w:eastAsia="en-US"/>
              </w:rPr>
            </w:pPr>
            <w:r>
              <w:rPr>
                <w:color w:val="455560"/>
                <w:sz w:val="18"/>
                <w:szCs w:val="18"/>
                <w:lang w:eastAsia="en-US"/>
              </w:rPr>
              <w:t>May follow stability mechanism</w:t>
            </w:r>
          </w:p>
        </w:tc>
        <w:tc>
          <w:tcPr>
            <w:tcW w:w="1417" w:type="dxa"/>
            <w:vAlign w:val="center"/>
          </w:tcPr>
          <w:p w14:paraId="3EC2EDD1"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No</w:t>
            </w:r>
          </w:p>
        </w:tc>
        <w:tc>
          <w:tcPr>
            <w:tcW w:w="1418" w:type="dxa"/>
            <w:vAlign w:val="center"/>
          </w:tcPr>
          <w:p w14:paraId="572A3CBF"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No</w:t>
            </w:r>
          </w:p>
        </w:tc>
      </w:tr>
      <w:tr w:rsidR="00F93097" w:rsidRPr="00FD3F78" w14:paraId="0526B176" w14:textId="77777777">
        <w:tc>
          <w:tcPr>
            <w:tcW w:w="1417" w:type="dxa"/>
            <w:tcBorders>
              <w:bottom w:val="single" w:sz="8" w:space="0" w:color="5B9BD5" w:themeColor="accent5"/>
            </w:tcBorders>
            <w:vAlign w:val="center"/>
          </w:tcPr>
          <w:p w14:paraId="0596FC78" w14:textId="77777777" w:rsidR="00F93097" w:rsidRPr="005F5420" w:rsidRDefault="00F93097">
            <w:pPr>
              <w:spacing w:beforeLines="40" w:before="96" w:afterLines="80" w:after="192" w:line="220" w:lineRule="atLeast"/>
              <w:rPr>
                <w:b/>
                <w:color w:val="455560"/>
                <w:sz w:val="18"/>
                <w:szCs w:val="18"/>
                <w:lang w:eastAsia="en-US"/>
              </w:rPr>
            </w:pPr>
            <w:r w:rsidRPr="005F5420">
              <w:rPr>
                <w:b/>
                <w:color w:val="455560"/>
                <w:sz w:val="18"/>
                <w:szCs w:val="18"/>
                <w:lang w:eastAsia="en-US"/>
              </w:rPr>
              <w:t>Treatment of surplus</w:t>
            </w:r>
          </w:p>
        </w:tc>
        <w:tc>
          <w:tcPr>
            <w:tcW w:w="1417" w:type="dxa"/>
            <w:tcBorders>
              <w:bottom w:val="single" w:sz="8" w:space="0" w:color="5B9BD5" w:themeColor="accent5"/>
            </w:tcBorders>
            <w:vAlign w:val="center"/>
          </w:tcPr>
          <w:p w14:paraId="0C602DBC"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Covered by stabilisation arrangement</w:t>
            </w:r>
          </w:p>
        </w:tc>
        <w:tc>
          <w:tcPr>
            <w:tcW w:w="1417" w:type="dxa"/>
            <w:tcBorders>
              <w:bottom w:val="single" w:sz="8" w:space="0" w:color="5B9BD5" w:themeColor="accent5"/>
            </w:tcBorders>
            <w:vAlign w:val="center"/>
          </w:tcPr>
          <w:p w14:paraId="60C74A3B"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Covered by stabilisation arrangement</w:t>
            </w:r>
          </w:p>
        </w:tc>
        <w:tc>
          <w:tcPr>
            <w:tcW w:w="1418" w:type="dxa"/>
            <w:tcBorders>
              <w:bottom w:val="single" w:sz="8" w:space="0" w:color="5B9BD5" w:themeColor="accent5"/>
            </w:tcBorders>
            <w:vAlign w:val="center"/>
          </w:tcPr>
          <w:p w14:paraId="58779778"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Follow stabilised arrangement</w:t>
            </w:r>
          </w:p>
        </w:tc>
        <w:tc>
          <w:tcPr>
            <w:tcW w:w="1417" w:type="dxa"/>
            <w:tcBorders>
              <w:bottom w:val="single" w:sz="8" w:space="0" w:color="5B9BD5" w:themeColor="accent5"/>
            </w:tcBorders>
            <w:vAlign w:val="center"/>
          </w:tcPr>
          <w:p w14:paraId="7EFAAEDB"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Follow stabilised arrangement</w:t>
            </w:r>
          </w:p>
        </w:tc>
        <w:tc>
          <w:tcPr>
            <w:tcW w:w="1417" w:type="dxa"/>
            <w:tcBorders>
              <w:bottom w:val="single" w:sz="8" w:space="0" w:color="5B9BD5" w:themeColor="accent5"/>
            </w:tcBorders>
            <w:vAlign w:val="center"/>
          </w:tcPr>
          <w:p w14:paraId="721306B6"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Full allowance</w:t>
            </w:r>
          </w:p>
        </w:tc>
        <w:tc>
          <w:tcPr>
            <w:tcW w:w="1418" w:type="dxa"/>
            <w:tcBorders>
              <w:bottom w:val="single" w:sz="8" w:space="0" w:color="5B9BD5" w:themeColor="accent5"/>
            </w:tcBorders>
            <w:vAlign w:val="center"/>
          </w:tcPr>
          <w:p w14:paraId="5EF55765"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Full allowance</w:t>
            </w:r>
          </w:p>
        </w:tc>
      </w:tr>
      <w:tr w:rsidR="00F93097" w:rsidRPr="00FD3F78" w14:paraId="4F016727" w14:textId="77777777">
        <w:tc>
          <w:tcPr>
            <w:tcW w:w="1417" w:type="dxa"/>
            <w:tcBorders>
              <w:top w:val="single" w:sz="8" w:space="0" w:color="5B9BD5" w:themeColor="accent5"/>
              <w:bottom w:val="single" w:sz="4" w:space="0" w:color="auto"/>
            </w:tcBorders>
            <w:vAlign w:val="center"/>
          </w:tcPr>
          <w:p w14:paraId="3872A155" w14:textId="77777777" w:rsidR="00F93097" w:rsidRPr="005F5420" w:rsidRDefault="00F93097">
            <w:pPr>
              <w:spacing w:beforeLines="40" w:before="96" w:afterLines="80" w:after="192" w:line="220" w:lineRule="atLeast"/>
              <w:rPr>
                <w:b/>
                <w:color w:val="455560"/>
                <w:sz w:val="18"/>
                <w:szCs w:val="18"/>
                <w:lang w:eastAsia="en-US"/>
              </w:rPr>
            </w:pPr>
            <w:r w:rsidRPr="005F5420">
              <w:rPr>
                <w:b/>
                <w:color w:val="455560"/>
                <w:sz w:val="18"/>
                <w:szCs w:val="18"/>
                <w:lang w:eastAsia="en-US"/>
              </w:rPr>
              <w:t>Phasing of contribution changes</w:t>
            </w:r>
          </w:p>
        </w:tc>
        <w:tc>
          <w:tcPr>
            <w:tcW w:w="1417" w:type="dxa"/>
            <w:tcBorders>
              <w:top w:val="single" w:sz="8" w:space="0" w:color="5B9BD5" w:themeColor="accent5"/>
              <w:bottom w:val="single" w:sz="4" w:space="0" w:color="auto"/>
            </w:tcBorders>
            <w:vAlign w:val="center"/>
          </w:tcPr>
          <w:p w14:paraId="20A40CD4"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Covered by stabilisation arrangement</w:t>
            </w:r>
          </w:p>
        </w:tc>
        <w:tc>
          <w:tcPr>
            <w:tcW w:w="1417" w:type="dxa"/>
            <w:tcBorders>
              <w:top w:val="single" w:sz="8" w:space="0" w:color="5B9BD5" w:themeColor="accent5"/>
              <w:bottom w:val="single" w:sz="4" w:space="0" w:color="auto"/>
            </w:tcBorders>
            <w:vAlign w:val="center"/>
          </w:tcPr>
          <w:p w14:paraId="508CD76A"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Covered by stabilisation arrangement</w:t>
            </w:r>
          </w:p>
        </w:tc>
        <w:tc>
          <w:tcPr>
            <w:tcW w:w="1418" w:type="dxa"/>
            <w:tcBorders>
              <w:top w:val="single" w:sz="8" w:space="0" w:color="5B9BD5" w:themeColor="accent5"/>
              <w:bottom w:val="single" w:sz="4" w:space="0" w:color="auto"/>
            </w:tcBorders>
            <w:vAlign w:val="center"/>
          </w:tcPr>
          <w:p w14:paraId="4630D267"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Follow stabilised arrangement</w:t>
            </w:r>
          </w:p>
        </w:tc>
        <w:tc>
          <w:tcPr>
            <w:tcW w:w="1417" w:type="dxa"/>
            <w:tcBorders>
              <w:top w:val="single" w:sz="8" w:space="0" w:color="5B9BD5" w:themeColor="accent5"/>
              <w:bottom w:val="single" w:sz="4" w:space="0" w:color="auto"/>
            </w:tcBorders>
            <w:vAlign w:val="center"/>
          </w:tcPr>
          <w:p w14:paraId="5A048B8A" w14:textId="77777777" w:rsidR="00F93097" w:rsidRPr="005F5420" w:rsidRDefault="00F93097">
            <w:pPr>
              <w:spacing w:beforeLines="40" w:before="96" w:afterLines="80" w:after="192" w:line="220" w:lineRule="atLeast"/>
              <w:jc w:val="center"/>
              <w:rPr>
                <w:color w:val="455560"/>
                <w:sz w:val="18"/>
                <w:szCs w:val="18"/>
                <w:lang w:eastAsia="en-US"/>
              </w:rPr>
            </w:pPr>
            <w:r w:rsidRPr="005F5420">
              <w:rPr>
                <w:color w:val="455560"/>
                <w:sz w:val="18"/>
                <w:szCs w:val="18"/>
                <w:lang w:eastAsia="en-US"/>
              </w:rPr>
              <w:t>Follow stabilised arrangement</w:t>
            </w:r>
          </w:p>
        </w:tc>
        <w:tc>
          <w:tcPr>
            <w:tcW w:w="1417" w:type="dxa"/>
            <w:tcBorders>
              <w:top w:val="single" w:sz="8" w:space="0" w:color="5B9BD5" w:themeColor="accent5"/>
              <w:bottom w:val="single" w:sz="4" w:space="0" w:color="auto"/>
            </w:tcBorders>
            <w:vAlign w:val="center"/>
          </w:tcPr>
          <w:p w14:paraId="7B6A09F7"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None</w:t>
            </w:r>
          </w:p>
        </w:tc>
        <w:tc>
          <w:tcPr>
            <w:tcW w:w="1418" w:type="dxa"/>
            <w:tcBorders>
              <w:top w:val="single" w:sz="8" w:space="0" w:color="5B9BD5" w:themeColor="accent5"/>
              <w:bottom w:val="single" w:sz="4" w:space="0" w:color="auto"/>
            </w:tcBorders>
            <w:vAlign w:val="center"/>
          </w:tcPr>
          <w:p w14:paraId="2E0D4AF5" w14:textId="77777777" w:rsidR="00F93097" w:rsidRPr="005F5420" w:rsidRDefault="00F93097">
            <w:pPr>
              <w:spacing w:beforeLines="40" w:before="96" w:afterLines="80" w:after="192" w:line="220" w:lineRule="atLeast"/>
              <w:jc w:val="center"/>
              <w:rPr>
                <w:color w:val="455560"/>
                <w:sz w:val="18"/>
                <w:szCs w:val="18"/>
                <w:lang w:eastAsia="en-US"/>
              </w:rPr>
            </w:pPr>
            <w:r w:rsidRPr="00873F35">
              <w:rPr>
                <w:color w:val="455560"/>
                <w:sz w:val="18"/>
                <w:szCs w:val="18"/>
                <w:lang w:eastAsia="en-US"/>
              </w:rPr>
              <w:t>None</w:t>
            </w:r>
          </w:p>
        </w:tc>
      </w:tr>
    </w:tbl>
    <w:p w14:paraId="03DF2E52" w14:textId="77777777" w:rsidR="00F93097" w:rsidRPr="00A429DF" w:rsidRDefault="00F93097" w:rsidP="00F93097">
      <w:pPr>
        <w:pStyle w:val="BodyTextGrey"/>
        <w:rPr>
          <w:i/>
          <w:iCs w:val="0"/>
        </w:rPr>
      </w:pPr>
      <w:r w:rsidRPr="00A429DF">
        <w:rPr>
          <w:i/>
          <w:iCs w:val="0"/>
        </w:rPr>
        <w:t xml:space="preserve">* See </w:t>
      </w:r>
      <w:r w:rsidRPr="00E82D8F">
        <w:rPr>
          <w:i/>
          <w:iCs w:val="0"/>
        </w:rPr>
        <w:t>Appendix D</w:t>
      </w:r>
      <w:r w:rsidRPr="00A429DF">
        <w:rPr>
          <w:i/>
          <w:iCs w:val="0"/>
        </w:rPr>
        <w:t xml:space="preserve"> for further information on funding targets.  </w:t>
      </w:r>
    </w:p>
    <w:p w14:paraId="2400A987" w14:textId="77777777" w:rsidR="00F93097" w:rsidRPr="00A429DF" w:rsidRDefault="00F93097" w:rsidP="00F93097">
      <w:pPr>
        <w:pStyle w:val="BodyTextGrey"/>
        <w:rPr>
          <w:i/>
          <w:iCs w:val="0"/>
        </w:rPr>
      </w:pPr>
      <w:r w:rsidRPr="00A429DF">
        <w:rPr>
          <w:i/>
          <w:iCs w:val="0"/>
        </w:rPr>
        <w:t xml:space="preserve">** The contribution rate for these employers (i.e. the Council subsidiaries) has been set to offer the same contribution rate </w:t>
      </w:r>
      <w:r w:rsidRPr="00873F35">
        <w:rPr>
          <w:i/>
          <w:iCs w:val="0"/>
        </w:rPr>
        <w:t xml:space="preserve">pattern </w:t>
      </w:r>
      <w:r w:rsidRPr="00A429DF">
        <w:rPr>
          <w:i/>
          <w:iCs w:val="0"/>
        </w:rPr>
        <w:t xml:space="preserve">as the Council. </w:t>
      </w:r>
      <w:proofErr w:type="gramStart"/>
      <w:r w:rsidRPr="00A429DF">
        <w:rPr>
          <w:i/>
          <w:iCs w:val="0"/>
        </w:rPr>
        <w:t>In order to</w:t>
      </w:r>
      <w:proofErr w:type="gramEnd"/>
      <w:r w:rsidRPr="00A429DF">
        <w:rPr>
          <w:i/>
          <w:iCs w:val="0"/>
        </w:rPr>
        <w:t xml:space="preserve"> do this, we have tested the suggested rates for these Employer’s and are comfortable that they meet the funding target within the required likelihood of success.</w:t>
      </w:r>
    </w:p>
    <w:p w14:paraId="48745A30" w14:textId="77777777" w:rsidR="00F93097" w:rsidRPr="00A429DF" w:rsidRDefault="00F93097" w:rsidP="00DB668C">
      <w:pPr>
        <w:pStyle w:val="Heading3Num"/>
      </w:pPr>
      <w:r w:rsidRPr="00A429DF">
        <w:t xml:space="preserve">Making contribution rates stable  </w:t>
      </w:r>
    </w:p>
    <w:p w14:paraId="32B4BB7B" w14:textId="77777777" w:rsidR="00F93097" w:rsidRPr="00873F35" w:rsidRDefault="00F93097" w:rsidP="00F93097">
      <w:pPr>
        <w:pStyle w:val="BulletHymans"/>
      </w:pPr>
      <w:r w:rsidRPr="00A429DF">
        <w:t>Making employer contribution rates reasonably stable is an important funding objective. Where appropriate, contributions are set with this objective in mind.</w:t>
      </w:r>
    </w:p>
    <w:p w14:paraId="5A892191" w14:textId="107BAE23" w:rsidR="00F93097" w:rsidRPr="00873F35" w:rsidRDefault="00F93097" w:rsidP="00F93097">
      <w:pPr>
        <w:pStyle w:val="BodyTextGrey"/>
      </w:pPr>
      <w:r w:rsidRPr="00873F35">
        <w:t xml:space="preserve">The Fund operates an explicit contribution stability mechanism. This mechanism limits </w:t>
      </w:r>
      <w:r w:rsidRPr="00A429DF">
        <w:t xml:space="preserve">changes in contribution rate to 1% of pay per annum. This mechanism is reviewed </w:t>
      </w:r>
      <w:r w:rsidR="0064599E">
        <w:t xml:space="preserve">by the fund </w:t>
      </w:r>
      <w:r w:rsidRPr="00A429DF">
        <w:t>at each triennial valuation to ensure it is an appropriate long-term funding strategy</w:t>
      </w:r>
      <w:r w:rsidRPr="00873F35">
        <w:t xml:space="preserve"> and it is only applicable to those employers who will participate in the Fund for the long-term and the employer has a suitably strong covenant and large membership</w:t>
      </w:r>
      <w:r w:rsidRPr="00A429DF">
        <w:t>.</w:t>
      </w:r>
      <w:r w:rsidRPr="00873F35">
        <w:t xml:space="preserve"> Stabilisation criteria and limits are reviewed during the valuation </w:t>
      </w:r>
      <w:proofErr w:type="gramStart"/>
      <w:r w:rsidRPr="00873F35">
        <w:t>process</w:t>
      </w:r>
      <w:r w:rsidR="00777F78">
        <w:t>,</w:t>
      </w:r>
      <w:proofErr w:type="gramEnd"/>
      <w:r w:rsidR="00777F78">
        <w:t xml:space="preserve"> this review may also consider how changes in the contribution rates </w:t>
      </w:r>
      <w:r w:rsidR="00271A60">
        <w:t>within the mechanism are profiled</w:t>
      </w:r>
      <w:r w:rsidRPr="00873F35">
        <w:t>. The Administering Authority may review</w:t>
      </w:r>
      <w:r w:rsidR="00271A60">
        <w:t xml:space="preserve"> how the stability </w:t>
      </w:r>
      <w:r w:rsidR="00271A60">
        <w:lastRenderedPageBreak/>
        <w:t>mechanism</w:t>
      </w:r>
      <w:r w:rsidR="003213FC">
        <w:t xml:space="preserve"> applies to or operates for an employer</w:t>
      </w:r>
      <w:r w:rsidRPr="00873F35">
        <w:t xml:space="preserve"> between valuations to respond to membership or employer changes. </w:t>
      </w:r>
    </w:p>
    <w:p w14:paraId="59D9A73E" w14:textId="77777777" w:rsidR="00F93097" w:rsidRPr="00A429DF" w:rsidRDefault="00F93097" w:rsidP="00F93097">
      <w:pPr>
        <w:pStyle w:val="BulletHymans"/>
      </w:pPr>
      <w:r w:rsidRPr="00873F35">
        <w:t>At its sole discretion, for the reasons of long-term contribution stability, the Fund may apply the rules of the stability mechanism (</w:t>
      </w:r>
      <w:proofErr w:type="spellStart"/>
      <w:r w:rsidRPr="00873F35">
        <w:t>ie</w:t>
      </w:r>
      <w:proofErr w:type="spellEnd"/>
      <w:r w:rsidRPr="00873F35">
        <w:t xml:space="preserve"> limiting contribution rate increases to 1% of pay per annum) to other employers in the Fund. This will be communicated to relevant employers when </w:t>
      </w:r>
      <w:r>
        <w:t xml:space="preserve">it has been </w:t>
      </w:r>
      <w:r w:rsidRPr="00873F35">
        <w:t>applied.</w:t>
      </w:r>
    </w:p>
    <w:p w14:paraId="0DF1E120" w14:textId="77777777" w:rsidR="00F93097" w:rsidRPr="00DD6396" w:rsidRDefault="00F93097" w:rsidP="00DB668C">
      <w:pPr>
        <w:pStyle w:val="Heading3Num"/>
      </w:pPr>
      <w:r>
        <w:t>Reviewing contributions between valuations</w:t>
      </w:r>
    </w:p>
    <w:p w14:paraId="135635CF" w14:textId="77777777" w:rsidR="00F93097" w:rsidRDefault="00F93097" w:rsidP="00F93097">
      <w:pPr>
        <w:pStyle w:val="BodyTextGrey"/>
      </w:pPr>
      <w:r>
        <w:t xml:space="preserve">The Fund may amend contribution rates between formal valuations, in line with its policy on contribution reviews. The Fund’s </w:t>
      </w:r>
      <w:r w:rsidRPr="00E82D8F">
        <w:t>policy is set out in Appendix E. The</w:t>
      </w:r>
      <w:r>
        <w:t xml:space="preserve"> purpose of any review is to establish the most appropriate contributions. A review may lead to an increase or decrease in contributions. </w:t>
      </w:r>
    </w:p>
    <w:p w14:paraId="6D5B0DFA" w14:textId="77777777" w:rsidR="00F93097" w:rsidRPr="00873F35" w:rsidRDefault="00F93097" w:rsidP="00DB668C">
      <w:pPr>
        <w:pStyle w:val="Heading3Num"/>
      </w:pPr>
      <w:r>
        <w:t>Contribution rate pooling</w:t>
      </w:r>
    </w:p>
    <w:p w14:paraId="59343079" w14:textId="77777777" w:rsidR="00F93097" w:rsidRPr="00873F35" w:rsidRDefault="00F93097" w:rsidP="00F93097">
      <w:pPr>
        <w:pStyle w:val="BodyTextGrey"/>
      </w:pPr>
      <w:r w:rsidRPr="00873F35">
        <w:t xml:space="preserve">The </w:t>
      </w:r>
      <w:r>
        <w:t>Administering Authority</w:t>
      </w:r>
      <w:r w:rsidRPr="00873F35">
        <w:t xml:space="preserve"> </w:t>
      </w:r>
      <w:r>
        <w:t xml:space="preserve">may </w:t>
      </w:r>
      <w:r w:rsidRPr="00873F35">
        <w:t xml:space="preserve">operate contribution rate pools for similar types of employers. Contribution rates can be volatile for smaller employers that are more sensitive to individual membership changes – pooling across a group of employers minimises this. In a contribution rate pool, contributions are set to target full funding for the </w:t>
      </w:r>
      <w:proofErr w:type="gramStart"/>
      <w:r w:rsidRPr="00873F35">
        <w:t>pool as a whole, rather</w:t>
      </w:r>
      <w:proofErr w:type="gramEnd"/>
      <w:r w:rsidRPr="00873F35">
        <w:t xml:space="preserve"> than for individual employers.</w:t>
      </w:r>
    </w:p>
    <w:p w14:paraId="42346727" w14:textId="77777777" w:rsidR="00F93097" w:rsidRPr="00873F35" w:rsidRDefault="00F93097" w:rsidP="00F93097">
      <w:pPr>
        <w:pStyle w:val="BodyTextGrey"/>
      </w:pPr>
      <w:r w:rsidRPr="00873F35">
        <w:t xml:space="preserve">Employers in a pool maintain their individual funding positions, tracked by the </w:t>
      </w:r>
      <w:r>
        <w:t>Fund</w:t>
      </w:r>
      <w:r w:rsidRPr="00873F35">
        <w:t xml:space="preserve"> actuary. That means some employers may be better funded or more poorly funded than the pool average. If pooled employers used stand-alone funding rather than pooling, their contribution rates could be higher or lower than the pool rate. Setting contributions in this way means that while the </w:t>
      </w:r>
      <w:r>
        <w:t>Fund</w:t>
      </w:r>
      <w:r w:rsidRPr="00873F35">
        <w:t xml:space="preserve"> receives the </w:t>
      </w:r>
      <w:r>
        <w:t xml:space="preserve">overall </w:t>
      </w:r>
      <w:r w:rsidRPr="00873F35">
        <w:t xml:space="preserve">contributions required, the risk that </w:t>
      </w:r>
      <w:r>
        <w:t xml:space="preserve">individual </w:t>
      </w:r>
      <w:r w:rsidRPr="00873F35">
        <w:t>employers develop a surplus or deficit increases.</w:t>
      </w:r>
      <w:r>
        <w:t xml:space="preserve"> Therefore, pooling is usually only permitted after seeking advice from the Fund actuary and at the sole discretion of the Administering Authority.</w:t>
      </w:r>
    </w:p>
    <w:p w14:paraId="6F660ACC" w14:textId="77777777" w:rsidR="00F93097" w:rsidRPr="00873F35" w:rsidRDefault="00F93097" w:rsidP="00F93097">
      <w:pPr>
        <w:pStyle w:val="BodyTextGrey"/>
      </w:pPr>
      <w:r w:rsidRPr="00873F35">
        <w:t xml:space="preserve">Pooled employers are identified in the </w:t>
      </w:r>
      <w:r>
        <w:t>R</w:t>
      </w:r>
      <w:r w:rsidRPr="00873F35">
        <w:t xml:space="preserve">ates and </w:t>
      </w:r>
      <w:r>
        <w:t>A</w:t>
      </w:r>
      <w:r w:rsidRPr="00873F35">
        <w:t xml:space="preserve">djustments certificate and only have their pooled contributions certified. Individual contribution rates aren’t </w:t>
      </w:r>
      <w:r>
        <w:t xml:space="preserve">usually </w:t>
      </w:r>
      <w:r w:rsidRPr="00873F35">
        <w:t>disclosed to pooled employers</w:t>
      </w:r>
      <w:r>
        <w:t>.</w:t>
      </w:r>
    </w:p>
    <w:p w14:paraId="38B926D3" w14:textId="77777777" w:rsidR="00F93097" w:rsidRPr="00873F35" w:rsidRDefault="00F93097" w:rsidP="00F93097">
      <w:pPr>
        <w:pStyle w:val="BodyTextGrey"/>
      </w:pPr>
      <w:r w:rsidRPr="00873F35">
        <w:t xml:space="preserve">If an employer leaves the </w:t>
      </w:r>
      <w:r>
        <w:t>Fund</w:t>
      </w:r>
      <w:r w:rsidRPr="00873F35">
        <w:t>, the required contributions are based on their own funding position rather than the pool average. Cessation terms also apply, which means higher contributions may be required at that point.</w:t>
      </w:r>
    </w:p>
    <w:p w14:paraId="1D37C68F" w14:textId="77777777" w:rsidR="00F93097" w:rsidRPr="00BC3968" w:rsidRDefault="00F93097" w:rsidP="00DB668C">
      <w:pPr>
        <w:pStyle w:val="Heading3Num"/>
      </w:pPr>
      <w:r w:rsidRPr="00BC3968">
        <w:t>Administering Authority discretion</w:t>
      </w:r>
    </w:p>
    <w:p w14:paraId="7FC915CA" w14:textId="77777777" w:rsidR="00F93097" w:rsidRDefault="00F93097" w:rsidP="00F93097">
      <w:pPr>
        <w:pStyle w:val="BodyTextGrey"/>
      </w:pPr>
      <w:r w:rsidRPr="00BC3968">
        <w:t>Individual employers may be affected by</w:t>
      </w:r>
      <w:r>
        <w:t xml:space="preserve"> circumstances not easily managed within the FSS rules and policies. If this happens, the Administering Authority may adopt alternative funding approaches on a case-by-case basis. </w:t>
      </w:r>
    </w:p>
    <w:p w14:paraId="6055EF46" w14:textId="77777777" w:rsidR="00F93097" w:rsidRDefault="00F93097" w:rsidP="00F93097">
      <w:pPr>
        <w:pStyle w:val="BodyTextGrey"/>
      </w:pPr>
      <w:r w:rsidRPr="000E151C">
        <w:t xml:space="preserve">Additionally, the </w:t>
      </w:r>
      <w:r>
        <w:t>Administering Authority</w:t>
      </w:r>
      <w:r w:rsidRPr="000E151C">
        <w:t xml:space="preserve"> may allow greater flexibility to the employer’s contributions if added security is provided. Flexibility could include things like a reduced contribution rate, extended time horizon, or permission to join a pool. Added security may include a suitable bond, a legally binding guarantee from an appropriate third party, or security over an asset. </w:t>
      </w:r>
    </w:p>
    <w:p w14:paraId="5BC94B3C" w14:textId="77777777" w:rsidR="00F93097" w:rsidRDefault="00F93097" w:rsidP="00DB668C">
      <w:pPr>
        <w:pStyle w:val="Heading3Num"/>
      </w:pPr>
      <w:r>
        <w:t>Prepayment of employer contributions</w:t>
      </w:r>
    </w:p>
    <w:p w14:paraId="545831D5" w14:textId="77777777" w:rsidR="00F93097" w:rsidRPr="000E151C" w:rsidRDefault="00F93097" w:rsidP="00F93097">
      <w:pPr>
        <w:pStyle w:val="BodyTextGrey"/>
      </w:pPr>
      <w:r>
        <w:t>The Fund will consider prepayment of employer contributions on a case-by-case basis. Considerations will include whether to permit prepayment and how such prepayments may be calculated. Advice from the Fund actuary will typically be sought.</w:t>
      </w:r>
    </w:p>
    <w:p w14:paraId="567CADF1" w14:textId="77777777" w:rsidR="00F93097" w:rsidRDefault="00F93097" w:rsidP="00F93097">
      <w:pPr>
        <w:pStyle w:val="BodyTextGrey"/>
        <w:rPr>
          <w:highlight w:val="yellow"/>
        </w:rPr>
      </w:pPr>
    </w:p>
    <w:p w14:paraId="0829D02B" w14:textId="77777777" w:rsidR="00F93097" w:rsidRDefault="00F93097" w:rsidP="00F93097">
      <w:pPr>
        <w:spacing w:after="20"/>
        <w:rPr>
          <w:iCs/>
          <w:color w:val="3FA6CC"/>
          <w:kern w:val="28"/>
          <w:sz w:val="36"/>
          <w:lang w:eastAsia="en-US"/>
        </w:rPr>
      </w:pPr>
      <w:bookmarkStart w:id="20" w:name="_Toc110971574"/>
      <w:r>
        <w:br w:type="page"/>
      </w:r>
    </w:p>
    <w:p w14:paraId="4723BE63" w14:textId="77777777" w:rsidR="00F93097" w:rsidRPr="002A6F12" w:rsidRDefault="00F93097" w:rsidP="002A6F12">
      <w:pPr>
        <w:pStyle w:val="Heading1Num"/>
      </w:pPr>
      <w:bookmarkStart w:id="21" w:name="_Toc112068177"/>
      <w:r w:rsidRPr="002A6F12">
        <w:lastRenderedPageBreak/>
        <w:t>What additional contributions may be payable?</w:t>
      </w:r>
      <w:bookmarkEnd w:id="20"/>
      <w:bookmarkEnd w:id="21"/>
      <w:r w:rsidRPr="002A6F12">
        <w:t xml:space="preserve"> </w:t>
      </w:r>
    </w:p>
    <w:p w14:paraId="414BC1B8" w14:textId="77777777" w:rsidR="00F93097" w:rsidRPr="00176EB0" w:rsidRDefault="00F93097" w:rsidP="00DB668C">
      <w:pPr>
        <w:pStyle w:val="Heading3Num"/>
      </w:pPr>
      <w:bookmarkStart w:id="22" w:name="_Toc86162850"/>
      <w:r>
        <w:t>P</w:t>
      </w:r>
      <w:r w:rsidRPr="00176EB0">
        <w:t xml:space="preserve">ension costs – </w:t>
      </w:r>
      <w:r>
        <w:t xml:space="preserve">awarding </w:t>
      </w:r>
      <w:r w:rsidRPr="00176EB0">
        <w:t>additional pension</w:t>
      </w:r>
      <w:r>
        <w:t xml:space="preserve"> and </w:t>
      </w:r>
      <w:r w:rsidRPr="00176EB0">
        <w:t xml:space="preserve">early retirement on </w:t>
      </w:r>
      <w:proofErr w:type="spellStart"/>
      <w:proofErr w:type="gramStart"/>
      <w:r w:rsidRPr="00176EB0">
        <w:t>non ill-health</w:t>
      </w:r>
      <w:proofErr w:type="spellEnd"/>
      <w:proofErr w:type="gramEnd"/>
      <w:r w:rsidRPr="00176EB0">
        <w:t xml:space="preserve"> grounds</w:t>
      </w:r>
      <w:bookmarkEnd w:id="22"/>
    </w:p>
    <w:p w14:paraId="12537CF3" w14:textId="77777777" w:rsidR="00F93097" w:rsidRPr="00137BB9" w:rsidRDefault="00F93097" w:rsidP="00F93097">
      <w:pPr>
        <w:pStyle w:val="BodyTextGrey"/>
      </w:pPr>
      <w:r w:rsidRPr="00137BB9">
        <w:t xml:space="preserve">If an employer awards additional pension as an annual benefit amount, they pay an additional contribution to the </w:t>
      </w:r>
      <w:r>
        <w:t>Fund</w:t>
      </w:r>
      <w:r w:rsidRPr="00137BB9">
        <w:t xml:space="preserve"> as a single lump sum.  The amount is set by guidance issued by </w:t>
      </w:r>
      <w:r>
        <w:t xml:space="preserve">the </w:t>
      </w:r>
      <w:r w:rsidRPr="00137BB9">
        <w:t>G</w:t>
      </w:r>
      <w:r>
        <w:t xml:space="preserve">overnment </w:t>
      </w:r>
      <w:r w:rsidRPr="00137BB9">
        <w:t>A</w:t>
      </w:r>
      <w:r>
        <w:t xml:space="preserve">ctuary’s </w:t>
      </w:r>
      <w:r w:rsidRPr="00137BB9">
        <w:t>D</w:t>
      </w:r>
      <w:r>
        <w:t>epartment</w:t>
      </w:r>
      <w:r w:rsidRPr="00137BB9">
        <w:t xml:space="preserve"> and updated from time to time. </w:t>
      </w:r>
    </w:p>
    <w:p w14:paraId="27ED263C" w14:textId="77777777" w:rsidR="00F93097" w:rsidRPr="00137BB9" w:rsidRDefault="00F93097" w:rsidP="00F93097">
      <w:pPr>
        <w:pStyle w:val="BodyTextGrey"/>
      </w:pPr>
      <w:r w:rsidRPr="00137BB9">
        <w:t xml:space="preserve">If an employee retires before their normal retirement age on unreduced benefits, employers may be asked to pay additional contributions called strain payments. </w:t>
      </w:r>
    </w:p>
    <w:p w14:paraId="4FE088DD" w14:textId="77777777" w:rsidR="00F93097" w:rsidRPr="00F86B5E" w:rsidRDefault="00F93097" w:rsidP="00F93097">
      <w:pPr>
        <w:pStyle w:val="BodyTextGrey"/>
      </w:pPr>
      <w:r w:rsidRPr="00137BB9">
        <w:t>Employers typically make strain payments as a single lump sum, though strain</w:t>
      </w:r>
      <w:r>
        <w:t xml:space="preserve"> payments may be spread over </w:t>
      </w:r>
      <w:proofErr w:type="gramStart"/>
      <w:r>
        <w:t>a time period</w:t>
      </w:r>
      <w:proofErr w:type="gramEnd"/>
      <w:r>
        <w:t xml:space="preserve"> if the Administering Authority agrees.</w:t>
      </w:r>
    </w:p>
    <w:p w14:paraId="73EF618C" w14:textId="77777777" w:rsidR="00F93097" w:rsidRPr="00176EB0" w:rsidRDefault="00F93097" w:rsidP="00DB668C">
      <w:pPr>
        <w:pStyle w:val="Heading3Num"/>
      </w:pPr>
      <w:bookmarkStart w:id="23" w:name="_Toc16078808"/>
      <w:bookmarkStart w:id="24" w:name="_Toc86162851"/>
      <w:r>
        <w:t>P</w:t>
      </w:r>
      <w:r w:rsidRPr="00176EB0">
        <w:t xml:space="preserve">ension costs – early retirement </w:t>
      </w:r>
      <w:bookmarkEnd w:id="23"/>
      <w:r w:rsidRPr="00176EB0">
        <w:t>on ill-health grounds</w:t>
      </w:r>
      <w:bookmarkEnd w:id="24"/>
    </w:p>
    <w:p w14:paraId="417E1AD7" w14:textId="77777777" w:rsidR="00F93097" w:rsidRPr="0056536B" w:rsidRDefault="00F93097" w:rsidP="00F93097">
      <w:pPr>
        <w:pStyle w:val="BodyTextGrey"/>
      </w:pPr>
      <w:r w:rsidRPr="0056536B">
        <w:t xml:space="preserve">If a member retires early because of ill-health, </w:t>
      </w:r>
      <w:r>
        <w:t xml:space="preserve">an additional funding strain will arise which </w:t>
      </w:r>
      <w:r w:rsidRPr="0056536B">
        <w:t xml:space="preserve">may be a large sum. </w:t>
      </w:r>
      <w:r>
        <w:t xml:space="preserve">The funding strain is the responsibility of the member’s employer to pay. Employer contribution rates include an allowance for potential ill health funding </w:t>
      </w:r>
      <w:proofErr w:type="gramStart"/>
      <w:r>
        <w:t>strain</w:t>
      </w:r>
      <w:proofErr w:type="gramEnd"/>
      <w:r>
        <w:t xml:space="preserve"> but this may be insufficient to cover the actual strain cost. This is more likely to be the case for smaller employers in the fund (</w:t>
      </w:r>
      <w:proofErr w:type="spellStart"/>
      <w:r>
        <w:t>eg</w:t>
      </w:r>
      <w:proofErr w:type="spellEnd"/>
      <w:r>
        <w:t xml:space="preserve"> admission bodies) due to the size of their payroll compared to the magnitude of strain costs.</w:t>
      </w:r>
    </w:p>
    <w:p w14:paraId="1DD88200" w14:textId="77777777" w:rsidR="00F93097" w:rsidRPr="0056536B" w:rsidRDefault="00F93097" w:rsidP="00F93097">
      <w:pPr>
        <w:pStyle w:val="BodyTextGrey"/>
      </w:pPr>
      <w:r w:rsidRPr="002D7F0C">
        <w:t xml:space="preserve">The </w:t>
      </w:r>
      <w:r>
        <w:t>Administering Authority</w:t>
      </w:r>
      <w:r w:rsidRPr="002D7F0C">
        <w:t xml:space="preserve"> does not offer any arrangement to mitigate this. Individual employers </w:t>
      </w:r>
      <w:r>
        <w:t xml:space="preserve">should </w:t>
      </w:r>
      <w:r w:rsidRPr="002D7F0C">
        <w:t>make their own arrangements if they are concerned about the risk of unmanageable ill-health strain costs.</w:t>
      </w:r>
    </w:p>
    <w:p w14:paraId="15FFEFF4" w14:textId="77777777" w:rsidR="00F93097" w:rsidRDefault="00F93097" w:rsidP="00F93097">
      <w:pPr>
        <w:spacing w:after="20"/>
      </w:pPr>
      <w:r>
        <w:br w:type="page"/>
      </w:r>
    </w:p>
    <w:p w14:paraId="16A50EBA" w14:textId="77777777" w:rsidR="00F93097" w:rsidRDefault="00F93097" w:rsidP="002A6F12">
      <w:pPr>
        <w:pStyle w:val="Heading1Num"/>
      </w:pPr>
      <w:bookmarkStart w:id="25" w:name="_Toc112068178"/>
      <w:r>
        <w:lastRenderedPageBreak/>
        <w:t>How does the Fund calculate assets and liabilities?</w:t>
      </w:r>
      <w:bookmarkEnd w:id="25"/>
    </w:p>
    <w:p w14:paraId="5532BA0E" w14:textId="77777777" w:rsidR="00F93097" w:rsidRDefault="00F93097" w:rsidP="00DB668C">
      <w:pPr>
        <w:pStyle w:val="Heading3Num"/>
      </w:pPr>
      <w:bookmarkStart w:id="26" w:name="_Toc86162855"/>
      <w:r>
        <w:t xml:space="preserve">How are employer asset shares calculated? </w:t>
      </w:r>
      <w:bookmarkEnd w:id="26"/>
    </w:p>
    <w:p w14:paraId="161885AD" w14:textId="77777777" w:rsidR="00F93097" w:rsidRPr="001F0A03" w:rsidRDefault="00F93097" w:rsidP="00F93097">
      <w:pPr>
        <w:pStyle w:val="BodyTextGrey"/>
      </w:pPr>
      <w:r w:rsidRPr="001F0A03">
        <w:t xml:space="preserve">The </w:t>
      </w:r>
      <w:r>
        <w:t>Fund</w:t>
      </w:r>
      <w:r w:rsidRPr="001F0A03">
        <w:t xml:space="preserve"> adopts a cashflow approach </w:t>
      </w:r>
      <w:r>
        <w:t>to</w:t>
      </w:r>
      <w:r w:rsidRPr="001F0A03">
        <w:t xml:space="preserve"> track individual employer assets.</w:t>
      </w:r>
    </w:p>
    <w:p w14:paraId="45CD087A" w14:textId="77777777" w:rsidR="00F93097" w:rsidRDefault="00F93097" w:rsidP="00F93097">
      <w:pPr>
        <w:pStyle w:val="BodyTextGrey"/>
      </w:pPr>
      <w:r>
        <w:t>Each Fund employer has a notional share of the Fund’s assets, which is assessed yearly by the a</w:t>
      </w:r>
      <w:r w:rsidRPr="001F0A03">
        <w:t>ctuary</w:t>
      </w:r>
      <w:r>
        <w:t>. The actuary starts with a</w:t>
      </w:r>
      <w:r w:rsidRPr="001F0A03">
        <w:t>ssets from the previous year</w:t>
      </w:r>
      <w:r>
        <w:t>-</w:t>
      </w:r>
      <w:r w:rsidRPr="001F0A03">
        <w:t>end</w:t>
      </w:r>
      <w:r>
        <w:t xml:space="preserve">, adding </w:t>
      </w:r>
      <w:r w:rsidRPr="001F0A03">
        <w:t xml:space="preserve">cashflows paid in/out and investment returns </w:t>
      </w:r>
      <w:r>
        <w:t xml:space="preserve">to give a new year-end </w:t>
      </w:r>
      <w:r w:rsidRPr="001F0A03">
        <w:t>asset value</w:t>
      </w:r>
      <w:r>
        <w:t xml:space="preserve">. The Fund actuary makes a simplifying assumption, that all </w:t>
      </w:r>
      <w:r w:rsidRPr="001F0A03">
        <w:t xml:space="preserve">cashflow and investment returns </w:t>
      </w:r>
      <w:r>
        <w:t xml:space="preserve">have been paid uniformly over the </w:t>
      </w:r>
      <w:r w:rsidRPr="001F0A03">
        <w:t xml:space="preserve">year. </w:t>
      </w:r>
      <w:r>
        <w:t xml:space="preserve">This assumption means that the sum of </w:t>
      </w:r>
      <w:r w:rsidRPr="001F0A03">
        <w:t xml:space="preserve">all employers’ asset values </w:t>
      </w:r>
      <w:r>
        <w:t xml:space="preserve">is slightly different </w:t>
      </w:r>
      <w:r w:rsidRPr="001F0A03">
        <w:t xml:space="preserve">from the whole </w:t>
      </w:r>
      <w:r>
        <w:t>Fund</w:t>
      </w:r>
      <w:r w:rsidRPr="001F0A03">
        <w:t xml:space="preserve"> asset total over time</w:t>
      </w:r>
      <w:r>
        <w:t xml:space="preserve">. This minimal </w:t>
      </w:r>
      <w:r w:rsidRPr="001F0A03">
        <w:t>difference is split between employers in proportion to their asset shares at each</w:t>
      </w:r>
      <w:r>
        <w:t xml:space="preserve"> </w:t>
      </w:r>
      <w:r w:rsidRPr="001F0A03">
        <w:t>valuation.</w:t>
      </w:r>
    </w:p>
    <w:p w14:paraId="65CB06DC" w14:textId="77777777" w:rsidR="00F93097" w:rsidRDefault="00F93097" w:rsidP="00F93097">
      <w:pPr>
        <w:pStyle w:val="BodyTextGrey"/>
      </w:pPr>
      <w:r>
        <w:t>If an employee moves one from one employer to another within the Fund, assets equal to the cash equivalent transfer value (CETV) will move from the original employer to the receiving employer’s asset share.</w:t>
      </w:r>
    </w:p>
    <w:p w14:paraId="38D31E42" w14:textId="77777777" w:rsidR="00F93097" w:rsidRPr="001F0A03" w:rsidRDefault="00F93097" w:rsidP="00F93097">
      <w:pPr>
        <w:pStyle w:val="BodyTextGrey"/>
      </w:pPr>
      <w:r>
        <w:t>Alternatively, if employees move when a new employer is formed or an outsourced contract begins, the Fund actuary will calculate assets linked to the value of the liabilities transferring (see Section 5).</w:t>
      </w:r>
    </w:p>
    <w:p w14:paraId="163C98E1" w14:textId="77777777" w:rsidR="00F93097" w:rsidRDefault="00F93097" w:rsidP="00DB668C">
      <w:pPr>
        <w:pStyle w:val="Heading3Num"/>
      </w:pPr>
      <w:bookmarkStart w:id="27" w:name="_Toc86162856"/>
      <w:r>
        <w:t>How are employer liabilities calculated?</w:t>
      </w:r>
      <w:bookmarkEnd w:id="27"/>
    </w:p>
    <w:p w14:paraId="2DC1AD7B" w14:textId="77777777" w:rsidR="00F93097" w:rsidRDefault="00F93097" w:rsidP="00F93097">
      <w:pPr>
        <w:pStyle w:val="BodyTextGrey"/>
      </w:pPr>
      <w:r>
        <w:t xml:space="preserve">The Fund holds membership data for all active, deferred and pensioner members. Based on this data and the assumptions in </w:t>
      </w:r>
      <w:hyperlink w:anchor="AppendixD" w:history="1">
        <w:r w:rsidRPr="000442D4">
          <w:rPr>
            <w:rStyle w:val="Hyperlink"/>
          </w:rPr>
          <w:t>Appendix D</w:t>
        </w:r>
      </w:hyperlink>
      <w:r>
        <w:t xml:space="preserve">, the Fund actuary projects the expected benefits for all members into the future. This is expressed as a single value – the liabilities – by allowing for expected future investment returns. </w:t>
      </w:r>
    </w:p>
    <w:p w14:paraId="7A2914EE" w14:textId="77777777" w:rsidR="00F93097" w:rsidRDefault="00F93097" w:rsidP="00F93097">
      <w:pPr>
        <w:pStyle w:val="BodyTextGrey"/>
      </w:pPr>
      <w:r>
        <w:t xml:space="preserve">Each employer’s liabilities reflect the experience of their own employees and ex-employees. </w:t>
      </w:r>
    </w:p>
    <w:p w14:paraId="1514F915" w14:textId="77777777" w:rsidR="00F93097" w:rsidRDefault="00F93097" w:rsidP="00DB668C">
      <w:pPr>
        <w:pStyle w:val="Heading3Num"/>
      </w:pPr>
      <w:bookmarkStart w:id="28" w:name="_Toc86162857"/>
      <w:r>
        <w:t>What is a funding level?</w:t>
      </w:r>
      <w:bookmarkEnd w:id="28"/>
    </w:p>
    <w:p w14:paraId="60A44F9A" w14:textId="77777777" w:rsidR="00F93097" w:rsidRPr="00564BCF" w:rsidRDefault="00F93097" w:rsidP="00F93097">
      <w:pPr>
        <w:pStyle w:val="BodyTextGrey"/>
      </w:pPr>
      <w:r>
        <w:t xml:space="preserve">An employer’s funding level is the ratio of the market value of asset share against liabilities. If this is </w:t>
      </w:r>
      <w:r w:rsidRPr="00564BCF">
        <w:t>less than 100%</w:t>
      </w:r>
      <w:r>
        <w:t xml:space="preserve">, the </w:t>
      </w:r>
      <w:r w:rsidRPr="00564BCF">
        <w:t>employer has a shortfall</w:t>
      </w:r>
      <w:r>
        <w:t xml:space="preserve">: the </w:t>
      </w:r>
      <w:r w:rsidRPr="00564BCF">
        <w:t>employer’s deficit</w:t>
      </w:r>
      <w:r>
        <w:t xml:space="preserve">. If it is </w:t>
      </w:r>
      <w:r w:rsidRPr="00564BCF">
        <w:t>more than 100%</w:t>
      </w:r>
      <w:r>
        <w:t xml:space="preserve">, the employer is in </w:t>
      </w:r>
      <w:r w:rsidRPr="00564BCF">
        <w:t xml:space="preserve">surplus. The amount of deficit or </w:t>
      </w:r>
      <w:r>
        <w:t>surplus</w:t>
      </w:r>
      <w:r w:rsidRPr="00564BCF">
        <w:t xml:space="preserve"> is the difference between the asset value and the liabilities value.</w:t>
      </w:r>
    </w:p>
    <w:p w14:paraId="1A8EB0E6" w14:textId="77777777" w:rsidR="00F93097" w:rsidRPr="00B351DF" w:rsidRDefault="00F93097" w:rsidP="00F93097">
      <w:pPr>
        <w:pStyle w:val="BodyTextGrey"/>
        <w:rPr>
          <w:b/>
          <w:bCs/>
        </w:rPr>
      </w:pPr>
      <w:r>
        <w:t>F</w:t>
      </w:r>
      <w:r w:rsidRPr="00564BCF">
        <w:t>unding level</w:t>
      </w:r>
      <w:r>
        <w:t>s</w:t>
      </w:r>
      <w:r w:rsidRPr="00564BCF">
        <w:t xml:space="preserve"> and deficit/surplus </w:t>
      </w:r>
      <w:r>
        <w:t>values measure a particular point in time, based on a particular set of future assumptions. While this measure is of interest, for most employers the main issue is the level of contributions payable. The funding level does not directly drive contribution rates. See section 2 for further information on contribution rates.</w:t>
      </w:r>
      <w:r w:rsidRPr="00B351DF">
        <w:rPr>
          <w:b/>
          <w:bCs/>
        </w:rPr>
        <w:t xml:space="preserve"> </w:t>
      </w:r>
    </w:p>
    <w:p w14:paraId="6F2514E2" w14:textId="77777777" w:rsidR="00F93097" w:rsidRDefault="00F93097" w:rsidP="00F93097">
      <w:pPr>
        <w:spacing w:after="20"/>
      </w:pPr>
    </w:p>
    <w:p w14:paraId="7C9F1E2E" w14:textId="77777777" w:rsidR="00F93097" w:rsidRDefault="00F93097" w:rsidP="00F93097">
      <w:pPr>
        <w:pStyle w:val="BodyTextGrey"/>
      </w:pPr>
    </w:p>
    <w:p w14:paraId="7F55C31E" w14:textId="77777777" w:rsidR="00F93097" w:rsidRDefault="00F93097" w:rsidP="00F93097">
      <w:pPr>
        <w:pStyle w:val="BodyTextGrey"/>
      </w:pPr>
    </w:p>
    <w:p w14:paraId="182B5235" w14:textId="77777777" w:rsidR="00F93097" w:rsidRDefault="00F93097" w:rsidP="00F93097">
      <w:pPr>
        <w:pStyle w:val="BodyTextGrey"/>
      </w:pPr>
    </w:p>
    <w:p w14:paraId="50FD7BEB" w14:textId="77777777" w:rsidR="00F93097" w:rsidRDefault="00F93097" w:rsidP="00F93097">
      <w:pPr>
        <w:pStyle w:val="BodyTextGrey"/>
      </w:pPr>
    </w:p>
    <w:p w14:paraId="2787B6D9" w14:textId="77777777" w:rsidR="00F93097" w:rsidRPr="00C43446" w:rsidRDefault="00F93097" w:rsidP="002A6F12">
      <w:pPr>
        <w:pStyle w:val="Heading1Num"/>
      </w:pPr>
      <w:bookmarkStart w:id="29" w:name="_Toc107385409"/>
      <w:bookmarkStart w:id="30" w:name="_Toc86162839"/>
      <w:bookmarkStart w:id="31" w:name="_Toc112068179"/>
      <w:bookmarkStart w:id="32" w:name="_Toc86162858"/>
      <w:bookmarkEnd w:id="29"/>
      <w:r>
        <w:t xml:space="preserve">What happens when an employer joins </w:t>
      </w:r>
      <w:r w:rsidRPr="00C43446">
        <w:t xml:space="preserve">the </w:t>
      </w:r>
      <w:bookmarkEnd w:id="30"/>
      <w:r>
        <w:t>Fund?</w:t>
      </w:r>
      <w:bookmarkEnd w:id="31"/>
      <w:r>
        <w:t xml:space="preserve"> </w:t>
      </w:r>
      <w:r w:rsidRPr="00C43446">
        <w:t xml:space="preserve"> </w:t>
      </w:r>
    </w:p>
    <w:p w14:paraId="1C7E5975" w14:textId="77777777" w:rsidR="00F93097" w:rsidRDefault="00F93097" w:rsidP="00DB668C">
      <w:pPr>
        <w:pStyle w:val="Heading3Num"/>
      </w:pPr>
      <w:bookmarkStart w:id="33" w:name="_Toc86162840"/>
      <w:r>
        <w:t>When can an employer join the Fund</w:t>
      </w:r>
    </w:p>
    <w:p w14:paraId="363AA0F1" w14:textId="77777777" w:rsidR="00F93097" w:rsidRPr="000442D4" w:rsidRDefault="00F93097" w:rsidP="00F93097">
      <w:pPr>
        <w:pStyle w:val="BodyTextGrey"/>
      </w:pPr>
      <w:bookmarkStart w:id="34" w:name="_Toc111013075"/>
      <w:r w:rsidRPr="000442D4">
        <w:t xml:space="preserve">Employers can join the </w:t>
      </w:r>
      <w:r>
        <w:t>Fund</w:t>
      </w:r>
      <w:r w:rsidRPr="000442D4">
        <w:t xml:space="preserve"> if they are a new scheduled body or a new admission body. </w:t>
      </w:r>
      <w:bookmarkEnd w:id="34"/>
    </w:p>
    <w:p w14:paraId="023D0350" w14:textId="77777777" w:rsidR="00F93097" w:rsidRPr="004B478B" w:rsidRDefault="00F93097" w:rsidP="00F93097">
      <w:pPr>
        <w:pStyle w:val="BodyTextGrey"/>
      </w:pPr>
      <w:bookmarkStart w:id="35" w:name="_Toc111013076"/>
      <w:r w:rsidRPr="000442D4">
        <w:t xml:space="preserve">On joining, the </w:t>
      </w:r>
      <w:r>
        <w:t>Fund</w:t>
      </w:r>
      <w:r w:rsidRPr="000442D4">
        <w:t xml:space="preserve"> will determine the assets and liabilities for that employer within the Fund.  The calculation will depend on the type of employer </w:t>
      </w:r>
      <w:r w:rsidRPr="004B478B">
        <w:t>and the circumstances of joining.</w:t>
      </w:r>
      <w:bookmarkEnd w:id="35"/>
    </w:p>
    <w:p w14:paraId="79B4CBA8" w14:textId="082C5975" w:rsidR="00F93097" w:rsidRPr="000812BE" w:rsidRDefault="00F93097" w:rsidP="00F93097">
      <w:pPr>
        <w:pStyle w:val="BodyTextGrey"/>
      </w:pPr>
      <w:r>
        <w:t xml:space="preserve">A contribution rate will also be set.  This will be set in accordance with </w:t>
      </w:r>
      <w:proofErr w:type="gramStart"/>
      <w:r w:rsidRPr="00FB6BDD">
        <w:t xml:space="preserve">the </w:t>
      </w:r>
      <w:r w:rsidR="00FB6BDD">
        <w:t xml:space="preserve"> approach</w:t>
      </w:r>
      <w:proofErr w:type="gramEnd"/>
      <w:r w:rsidR="00FB6BDD">
        <w:t xml:space="preserve"> </w:t>
      </w:r>
      <w:r>
        <w:t>set out in Section 2, unless alternative arrangements apply (for example, the employer has agreed a pass-through arrangement).  More details on this are in Section 5.4 below.</w:t>
      </w:r>
    </w:p>
    <w:p w14:paraId="27F5E3B2" w14:textId="77777777" w:rsidR="00F93097" w:rsidRDefault="00F93097" w:rsidP="00DB668C">
      <w:pPr>
        <w:pStyle w:val="Heading3Num"/>
      </w:pPr>
      <w:r>
        <w:t xml:space="preserve">New admission bodies </w:t>
      </w:r>
      <w:proofErr w:type="gramStart"/>
      <w:r>
        <w:t>as a result of</w:t>
      </w:r>
      <w:proofErr w:type="gramEnd"/>
      <w:r>
        <w:t xml:space="preserve"> outsourcing services</w:t>
      </w:r>
    </w:p>
    <w:p w14:paraId="1F2CF138" w14:textId="77777777" w:rsidR="00F93097" w:rsidRPr="00C21640" w:rsidRDefault="00F93097" w:rsidP="00F93097">
      <w:pPr>
        <w:pStyle w:val="BodyTextGrey"/>
      </w:pPr>
      <w:r>
        <w:t>N</w:t>
      </w:r>
      <w:r w:rsidRPr="00C21640">
        <w:t xml:space="preserve">ew </w:t>
      </w:r>
      <w:r>
        <w:t xml:space="preserve">admission bodies usually join the Fund because </w:t>
      </w:r>
      <w:r w:rsidRPr="00C21640">
        <w:t>an existing employer (</w:t>
      </w:r>
      <w:r>
        <w:t xml:space="preserve">usually </w:t>
      </w:r>
      <w:r w:rsidRPr="00C21640">
        <w:t xml:space="preserve">a </w:t>
      </w:r>
      <w:r>
        <w:t>s</w:t>
      </w:r>
      <w:r w:rsidRPr="00C21640">
        <w:t xml:space="preserve">cheduled </w:t>
      </w:r>
      <w:r>
        <w:t>b</w:t>
      </w:r>
      <w:r w:rsidRPr="00C21640">
        <w:t xml:space="preserve">ody </w:t>
      </w:r>
      <w:r>
        <w:t xml:space="preserve">like </w:t>
      </w:r>
      <w:r w:rsidRPr="00C21640">
        <w:t>a council)</w:t>
      </w:r>
      <w:r>
        <w:t xml:space="preserve"> outsources a </w:t>
      </w:r>
      <w:r w:rsidRPr="00C21640">
        <w:t xml:space="preserve">service </w:t>
      </w:r>
      <w:r>
        <w:t>t</w:t>
      </w:r>
      <w:r w:rsidRPr="00C21640">
        <w:t>o another organisation (a contracto</w:t>
      </w:r>
      <w:r>
        <w:t>r</w:t>
      </w:r>
      <w:r w:rsidRPr="00C21640">
        <w:t>).</w:t>
      </w:r>
      <w:r>
        <w:t xml:space="preserve"> </w:t>
      </w:r>
      <w:r w:rsidRPr="00C21640">
        <w:t>This involves TUPE transfer</w:t>
      </w:r>
      <w:r>
        <w:t xml:space="preserve">s </w:t>
      </w:r>
      <w:r w:rsidRPr="00C21640">
        <w:t>of staff</w:t>
      </w:r>
      <w:r>
        <w:t xml:space="preserve"> from the letting employer</w:t>
      </w:r>
      <w:r w:rsidRPr="00C21640">
        <w:t xml:space="preserve"> to </w:t>
      </w:r>
      <w:r>
        <w:t xml:space="preserve">the </w:t>
      </w:r>
      <w:r w:rsidRPr="00C21640">
        <w:t>contractor</w:t>
      </w:r>
      <w:r>
        <w:t xml:space="preserve">. The contractor becomes a new participating Fund employer for the duration of the contract and </w:t>
      </w:r>
      <w:r w:rsidRPr="00C21640">
        <w:t xml:space="preserve">transferring employees </w:t>
      </w:r>
      <w:r>
        <w:t xml:space="preserve">remain eligible for </w:t>
      </w:r>
      <w:r w:rsidRPr="00C21640">
        <w:t>LGPS membership.</w:t>
      </w:r>
      <w:r>
        <w:t xml:space="preserve"> </w:t>
      </w:r>
      <w:r w:rsidRPr="00C21640">
        <w:t>At the end of the contract</w:t>
      </w:r>
      <w:r>
        <w:t xml:space="preserve">, </w:t>
      </w:r>
      <w:r w:rsidRPr="00C21640">
        <w:t xml:space="preserve">employees </w:t>
      </w:r>
      <w:r>
        <w:t xml:space="preserve">typically </w:t>
      </w:r>
      <w:r w:rsidRPr="00C21640">
        <w:t xml:space="preserve">revert to the letting employer or </w:t>
      </w:r>
      <w:r>
        <w:t xml:space="preserve">a </w:t>
      </w:r>
      <w:r w:rsidRPr="00C21640">
        <w:t>replacement contractor.</w:t>
      </w:r>
    </w:p>
    <w:p w14:paraId="1A2EA4BF" w14:textId="77777777" w:rsidR="00F93097" w:rsidRDefault="00F93097" w:rsidP="00F93097">
      <w:pPr>
        <w:pStyle w:val="BodyTextGrey"/>
      </w:pPr>
      <w:r>
        <w:t>L</w:t>
      </w:r>
      <w:r w:rsidRPr="00564BCF">
        <w:t xml:space="preserve">iabilities </w:t>
      </w:r>
      <w:r>
        <w:t>for transferring ac</w:t>
      </w:r>
      <w:r w:rsidRPr="00564BCF">
        <w:t xml:space="preserve">tive </w:t>
      </w:r>
      <w:r>
        <w:t>m</w:t>
      </w:r>
      <w:r w:rsidRPr="00564BCF">
        <w:t>embers</w:t>
      </w:r>
      <w:r>
        <w:t xml:space="preserve"> </w:t>
      </w:r>
      <w:r w:rsidRPr="00564BCF">
        <w:t>will be calculate</w:t>
      </w:r>
      <w:r>
        <w:t>d by the Fund actuary on the day before the outsourcing occurs.</w:t>
      </w:r>
    </w:p>
    <w:p w14:paraId="0A72FE18" w14:textId="77777777" w:rsidR="00F93097" w:rsidRPr="00C21640" w:rsidRDefault="00F93097" w:rsidP="00F93097">
      <w:pPr>
        <w:pStyle w:val="BodyTextGrey"/>
      </w:pPr>
      <w:r>
        <w:t xml:space="preserve">New contractors will be </w:t>
      </w:r>
      <w:r w:rsidRPr="00564BCF">
        <w:t xml:space="preserve">allocated an asset share </w:t>
      </w:r>
      <w:r w:rsidRPr="00C21640">
        <w:t>equal to the</w:t>
      </w:r>
      <w:r>
        <w:t xml:space="preserve"> value of the transferring</w:t>
      </w:r>
      <w:r w:rsidRPr="00C21640">
        <w:t xml:space="preserve"> liabilit</w:t>
      </w:r>
      <w:r>
        <w:t>ies</w:t>
      </w:r>
      <w:r w:rsidRPr="00C21640">
        <w:t>.</w:t>
      </w:r>
      <w:r>
        <w:t xml:space="preserve"> The admission agreement may set a different initial asset allocation, depending on contract-specific circumstances.  </w:t>
      </w:r>
    </w:p>
    <w:p w14:paraId="788A95DD" w14:textId="77777777" w:rsidR="00F93097" w:rsidRDefault="00F93097" w:rsidP="00F93097">
      <w:pPr>
        <w:pStyle w:val="BodyTextGrey"/>
        <w:rPr>
          <w:color w:val="auto"/>
        </w:rPr>
      </w:pPr>
      <w:r>
        <w:t>There is flexibility for outsourcing employers when it comes to pension risk potentially taken on by the contractor</w:t>
      </w:r>
      <w:r w:rsidRPr="00137BB9">
        <w:rPr>
          <w:color w:val="455560"/>
        </w:rPr>
        <w:t xml:space="preserve">.  </w:t>
      </w:r>
      <w:r w:rsidRPr="00FD4D8A">
        <w:rPr>
          <w:color w:val="455560"/>
        </w:rPr>
        <w:t xml:space="preserve">You can find more details on outsourcing options from the </w:t>
      </w:r>
      <w:r>
        <w:rPr>
          <w:color w:val="455560"/>
        </w:rPr>
        <w:t>Administering Authority</w:t>
      </w:r>
      <w:r w:rsidRPr="00FD4D8A">
        <w:rPr>
          <w:color w:val="455560"/>
        </w:rPr>
        <w:t xml:space="preserve"> or in the contract admission agreement. </w:t>
      </w:r>
    </w:p>
    <w:p w14:paraId="77A4337F" w14:textId="77777777" w:rsidR="00F93097" w:rsidRDefault="00F93097" w:rsidP="00DB668C">
      <w:pPr>
        <w:pStyle w:val="Heading3Num"/>
      </w:pPr>
      <w:r>
        <w:t xml:space="preserve">Other new employers </w:t>
      </w:r>
    </w:p>
    <w:p w14:paraId="715884D9" w14:textId="77777777" w:rsidR="00F93097" w:rsidRDefault="00F93097" w:rsidP="00F93097">
      <w:pPr>
        <w:pStyle w:val="BodyTextGrey"/>
      </w:pPr>
      <w:r>
        <w:t xml:space="preserve">There may be other circumstances that lead to a new admission body entering the Fund, </w:t>
      </w:r>
      <w:proofErr w:type="spellStart"/>
      <w:r>
        <w:t>eg</w:t>
      </w:r>
      <w:proofErr w:type="spellEnd"/>
      <w:r>
        <w:t xml:space="preserve"> set up of a wholly owned subsidiary company by a Local Authority.  Calculation of assets and liabilities on joining and a contribution rate will be carried out allowing for the circumstances of the new employer.  </w:t>
      </w:r>
    </w:p>
    <w:p w14:paraId="6BED6075" w14:textId="77777777" w:rsidR="00F93097" w:rsidRDefault="00F93097" w:rsidP="00DB668C">
      <w:pPr>
        <w:pStyle w:val="Heading3Num"/>
      </w:pPr>
      <w:r>
        <w:t>Risk assessment for new admission bodies</w:t>
      </w:r>
      <w:bookmarkEnd w:id="33"/>
    </w:p>
    <w:p w14:paraId="0C9A4A70" w14:textId="77777777" w:rsidR="00F93097" w:rsidRDefault="00F93097" w:rsidP="00F93097">
      <w:pPr>
        <w:pStyle w:val="BodyTextGrey"/>
      </w:pPr>
      <w:r>
        <w:t xml:space="preserve">Under </w:t>
      </w:r>
      <w:r w:rsidRPr="000F08AE">
        <w:t>the LGPS regulations</w:t>
      </w:r>
      <w:r>
        <w:t>,</w:t>
      </w:r>
      <w:r w:rsidRPr="000F08AE">
        <w:t xml:space="preserve"> a new</w:t>
      </w:r>
      <w:r>
        <w:t xml:space="preserve"> admission body must assess the risks it poses to the Fund if the admission agreement ends early, for example if the admission body becomes insolvent or goes out of business. In practice, the Fund actuary assesses this because the assessment must be carried out to the Administering Authority’s satisfaction. </w:t>
      </w:r>
    </w:p>
    <w:p w14:paraId="16266DC0" w14:textId="77777777" w:rsidR="00F93097" w:rsidRDefault="00F93097" w:rsidP="00F93097">
      <w:pPr>
        <w:pStyle w:val="BodyTextGrey"/>
      </w:pPr>
      <w:r>
        <w:t xml:space="preserve">After considering the assessment, the Administering Authority may decide the admission body must provide security, such as a guarantee from the letting employer, an indemnity or a bond. </w:t>
      </w:r>
    </w:p>
    <w:p w14:paraId="5B4D2807" w14:textId="77777777" w:rsidR="00F93097" w:rsidRDefault="00F93097" w:rsidP="00F93097">
      <w:pPr>
        <w:pStyle w:val="BodyTextGrey"/>
      </w:pPr>
      <w:r>
        <w:t xml:space="preserve">This must cover some or </w:t>
      </w:r>
      <w:proofErr w:type="gramStart"/>
      <w:r>
        <w:t>all of</w:t>
      </w:r>
      <w:proofErr w:type="gramEnd"/>
      <w:r>
        <w:t xml:space="preserve"> the:  </w:t>
      </w:r>
    </w:p>
    <w:p w14:paraId="3A05871C" w14:textId="77777777" w:rsidR="00F93097" w:rsidRDefault="00F93097" w:rsidP="00F9314B">
      <w:pPr>
        <w:pStyle w:val="BulletHymans"/>
        <w:numPr>
          <w:ilvl w:val="0"/>
          <w:numId w:val="15"/>
        </w:numPr>
      </w:pPr>
      <w:r>
        <w:t>strain costs of any early retirements, if employees are made redundant when a contract ends prematurely</w:t>
      </w:r>
    </w:p>
    <w:p w14:paraId="011D0C9A" w14:textId="77777777" w:rsidR="00F93097" w:rsidRDefault="00F93097" w:rsidP="00F9314B">
      <w:pPr>
        <w:pStyle w:val="BulletHymans"/>
        <w:numPr>
          <w:ilvl w:val="0"/>
          <w:numId w:val="15"/>
        </w:numPr>
      </w:pPr>
      <w:r>
        <w:t>allowance for the risk of assets performing less well than expected</w:t>
      </w:r>
    </w:p>
    <w:p w14:paraId="527911BD" w14:textId="77777777" w:rsidR="00F93097" w:rsidRPr="00BB77BA" w:rsidRDefault="00F93097" w:rsidP="00F9314B">
      <w:pPr>
        <w:pStyle w:val="BulletHymans"/>
        <w:numPr>
          <w:ilvl w:val="0"/>
          <w:numId w:val="15"/>
        </w:numPr>
      </w:pPr>
      <w:r>
        <w:t xml:space="preserve">allowance for the risk of liabilities being </w:t>
      </w:r>
      <w:r w:rsidRPr="00BB77BA">
        <w:t>greater than expected</w:t>
      </w:r>
    </w:p>
    <w:p w14:paraId="09AA566F" w14:textId="77777777" w:rsidR="00F93097" w:rsidRDefault="00F93097" w:rsidP="00F9314B">
      <w:pPr>
        <w:pStyle w:val="BulletHymans"/>
        <w:numPr>
          <w:ilvl w:val="0"/>
          <w:numId w:val="15"/>
        </w:numPr>
      </w:pPr>
      <w:r>
        <w:t>allowance for the possible non-payment of employer and member contributions</w:t>
      </w:r>
    </w:p>
    <w:p w14:paraId="66C285F0" w14:textId="77777777" w:rsidR="00F93097" w:rsidRDefault="00F93097" w:rsidP="00F9314B">
      <w:pPr>
        <w:pStyle w:val="BulletHymans"/>
        <w:numPr>
          <w:ilvl w:val="0"/>
          <w:numId w:val="15"/>
        </w:numPr>
      </w:pPr>
      <w:r>
        <w:t>admission body’s existing deficit.</w:t>
      </w:r>
    </w:p>
    <w:p w14:paraId="4F992912" w14:textId="77777777" w:rsidR="00F93097" w:rsidRPr="00A43A4A" w:rsidRDefault="00F93097" w:rsidP="002A6F12">
      <w:pPr>
        <w:pStyle w:val="Heading1Num"/>
      </w:pPr>
      <w:bookmarkStart w:id="36" w:name="_Toc112068180"/>
      <w:r>
        <w:t>What happens if an employer has a</w:t>
      </w:r>
      <w:r w:rsidRPr="00A43A4A">
        <w:t xml:space="preserve"> bulk transfer</w:t>
      </w:r>
      <w:r>
        <w:t xml:space="preserve"> of staff</w:t>
      </w:r>
      <w:r w:rsidRPr="00A43A4A">
        <w:t>?</w:t>
      </w:r>
      <w:bookmarkEnd w:id="36"/>
      <w:r w:rsidRPr="00A43A4A">
        <w:t xml:space="preserve"> </w:t>
      </w:r>
    </w:p>
    <w:p w14:paraId="41C96C0F" w14:textId="77777777" w:rsidR="00F93097" w:rsidRPr="008D74A4" w:rsidRDefault="00F93097" w:rsidP="00F93097">
      <w:pPr>
        <w:pStyle w:val="BodyTextGrey"/>
      </w:pPr>
      <w:r>
        <w:t xml:space="preserve">Bulk transfer cases will be looked at individually, but generally: </w:t>
      </w:r>
    </w:p>
    <w:p w14:paraId="67435117" w14:textId="77777777" w:rsidR="00F93097" w:rsidRPr="008D74A4" w:rsidRDefault="00F93097" w:rsidP="00F9314B">
      <w:pPr>
        <w:pStyle w:val="BulletHymans"/>
        <w:numPr>
          <w:ilvl w:val="0"/>
          <w:numId w:val="17"/>
        </w:numPr>
      </w:pPr>
      <w:r>
        <w:t>t</w:t>
      </w:r>
      <w:r w:rsidRPr="008D74A4">
        <w:t xml:space="preserve">he </w:t>
      </w:r>
      <w:r>
        <w:t>Fund</w:t>
      </w:r>
      <w:r w:rsidRPr="008D74A4">
        <w:t xml:space="preserve"> w</w:t>
      </w:r>
      <w:r>
        <w:t xml:space="preserve">on’t </w:t>
      </w:r>
      <w:r w:rsidRPr="008D74A4">
        <w:t>pay bulk transfers greater</w:t>
      </w:r>
      <w:r>
        <w:t xml:space="preserve"> in value than either </w:t>
      </w:r>
      <w:r w:rsidRPr="008D74A4">
        <w:t xml:space="preserve">the asset share of the transferring employer in the </w:t>
      </w:r>
      <w:r>
        <w:t xml:space="preserve">Fund, or </w:t>
      </w:r>
      <w:r w:rsidRPr="008D74A4">
        <w:t>the value of the liabilities of the transferring members</w:t>
      </w:r>
      <w:r>
        <w:t>, whichever is lower</w:t>
      </w:r>
    </w:p>
    <w:p w14:paraId="1C8AD0CD" w14:textId="77777777" w:rsidR="00F93097" w:rsidRPr="008D74A4" w:rsidRDefault="00F93097" w:rsidP="00F9314B">
      <w:pPr>
        <w:pStyle w:val="BulletHymans"/>
        <w:numPr>
          <w:ilvl w:val="0"/>
          <w:numId w:val="17"/>
        </w:numPr>
      </w:pPr>
      <w:r>
        <w:t>t</w:t>
      </w:r>
      <w:r w:rsidRPr="008D74A4">
        <w:t xml:space="preserve">he </w:t>
      </w:r>
      <w:r>
        <w:t>Fund</w:t>
      </w:r>
      <w:r w:rsidRPr="008D74A4">
        <w:t xml:space="preserve"> </w:t>
      </w:r>
      <w:r>
        <w:t xml:space="preserve">won’t </w:t>
      </w:r>
      <w:r w:rsidRPr="008D74A4">
        <w:t xml:space="preserve">grant added benefits to members bringing in entitlements from another </w:t>
      </w:r>
      <w:r>
        <w:t xml:space="preserve">Fund, </w:t>
      </w:r>
      <w:r w:rsidRPr="008D74A4">
        <w:t>unless the asset transfer is</w:t>
      </w:r>
      <w:r>
        <w:t xml:space="preserve"> enough to </w:t>
      </w:r>
      <w:r w:rsidRPr="008D74A4">
        <w:t>meet the added liabilities</w:t>
      </w:r>
    </w:p>
    <w:p w14:paraId="1478FC1A" w14:textId="77777777" w:rsidR="00F93097" w:rsidRDefault="00F93097" w:rsidP="00F9314B">
      <w:pPr>
        <w:pStyle w:val="BulletHymans"/>
        <w:numPr>
          <w:ilvl w:val="0"/>
          <w:numId w:val="17"/>
        </w:numPr>
      </w:pPr>
      <w:r>
        <w:t>t</w:t>
      </w:r>
      <w:r w:rsidRPr="008D74A4">
        <w:t xml:space="preserve">he </w:t>
      </w:r>
      <w:r>
        <w:t>Fund</w:t>
      </w:r>
      <w:r w:rsidRPr="008D74A4">
        <w:t xml:space="preserve"> may permit shortfalls on bulk transfers if the employer has </w:t>
      </w:r>
      <w:r>
        <w:t>a suitable coven</w:t>
      </w:r>
      <w:r w:rsidRPr="008D74A4">
        <w:t>ant and commits to meeting th</w:t>
      </w:r>
      <w:r>
        <w:t xml:space="preserve">e </w:t>
      </w:r>
      <w:r w:rsidRPr="008D74A4">
        <w:t>shortfall in an appropriate period</w:t>
      </w:r>
      <w:r>
        <w:t>, which may require increased c</w:t>
      </w:r>
      <w:r w:rsidRPr="008D74A4">
        <w:t>ontributions between valuations.</w:t>
      </w:r>
      <w:r>
        <w:t xml:space="preserve"> </w:t>
      </w:r>
    </w:p>
    <w:p w14:paraId="006C2AB2" w14:textId="77777777" w:rsidR="00F93097" w:rsidRDefault="00F93097" w:rsidP="00F93097">
      <w:pPr>
        <w:pStyle w:val="BodyTextGrey"/>
      </w:pPr>
      <w:r w:rsidRPr="00E82D8F">
        <w:t>The bulk transfer policy is in Appendix F.</w:t>
      </w:r>
      <w:r>
        <w:t xml:space="preserve"> </w:t>
      </w:r>
    </w:p>
    <w:p w14:paraId="50AE9973" w14:textId="77777777" w:rsidR="00F93097" w:rsidRDefault="00F93097" w:rsidP="00F93097">
      <w:pPr>
        <w:pStyle w:val="BodyTextGrey"/>
      </w:pPr>
    </w:p>
    <w:p w14:paraId="2F11FAFF" w14:textId="77777777" w:rsidR="00F93097" w:rsidRDefault="00F93097" w:rsidP="002A6F12">
      <w:pPr>
        <w:pStyle w:val="Heading1Num"/>
      </w:pPr>
      <w:bookmarkStart w:id="37" w:name="_Toc112068181"/>
      <w:r>
        <w:t xml:space="preserve">What happens when an employer leaves the </w:t>
      </w:r>
      <w:bookmarkEnd w:id="32"/>
      <w:r>
        <w:t>Fund?</w:t>
      </w:r>
      <w:bookmarkEnd w:id="37"/>
      <w:r>
        <w:t xml:space="preserve"> </w:t>
      </w:r>
    </w:p>
    <w:p w14:paraId="5FD6DC8E" w14:textId="77777777" w:rsidR="00F93097" w:rsidRDefault="00F93097" w:rsidP="00DB668C">
      <w:pPr>
        <w:pStyle w:val="Heading3Num"/>
      </w:pPr>
      <w:bookmarkStart w:id="38" w:name="_Toc86162859"/>
      <w:r>
        <w:t xml:space="preserve">What is a cessation event? </w:t>
      </w:r>
    </w:p>
    <w:p w14:paraId="50D81E35" w14:textId="77777777" w:rsidR="00F93097" w:rsidRDefault="00F93097" w:rsidP="00F93097">
      <w:pPr>
        <w:pStyle w:val="BodyTextGrey"/>
      </w:pPr>
      <w:r>
        <w:t xml:space="preserve">Triggers for considering cessation from the Fund are:  </w:t>
      </w:r>
    </w:p>
    <w:p w14:paraId="0E0BC34E" w14:textId="77777777" w:rsidR="00F93097" w:rsidRDefault="00F93097" w:rsidP="00F9314B">
      <w:pPr>
        <w:pStyle w:val="BodyTextGrey"/>
        <w:numPr>
          <w:ilvl w:val="0"/>
          <w:numId w:val="16"/>
        </w:numPr>
      </w:pPr>
      <w:r>
        <w:t>the last active member stops participation in the Fund. The Administering Authority</w:t>
      </w:r>
      <w:r w:rsidRPr="00E53DD2">
        <w:t>, at their discretion, can</w:t>
      </w:r>
      <w:r>
        <w:t xml:space="preserve"> defer acting for up to three years by issuing a suspension notice. That means cessation won’t be triggered if the employer takes on one or more active members during the agreed time </w:t>
      </w:r>
    </w:p>
    <w:p w14:paraId="745037F6" w14:textId="77777777" w:rsidR="00F93097" w:rsidRDefault="00F93097" w:rsidP="00F9314B">
      <w:pPr>
        <w:pStyle w:val="BodyTextGrey"/>
        <w:numPr>
          <w:ilvl w:val="0"/>
          <w:numId w:val="16"/>
        </w:numPr>
      </w:pPr>
      <w:r>
        <w:t>insolvency, winding up or liquidation of the admission body</w:t>
      </w:r>
    </w:p>
    <w:p w14:paraId="447FD426" w14:textId="77777777" w:rsidR="00F93097" w:rsidRDefault="00F93097" w:rsidP="00F9314B">
      <w:pPr>
        <w:pStyle w:val="BulletHymans"/>
        <w:numPr>
          <w:ilvl w:val="0"/>
          <w:numId w:val="16"/>
        </w:numPr>
      </w:pPr>
      <w:r>
        <w:t xml:space="preserve">a breach of the agreement obligations that isn’t remedied to the Fund’s satisfaction </w:t>
      </w:r>
    </w:p>
    <w:p w14:paraId="76FA9257" w14:textId="77777777" w:rsidR="00F93097" w:rsidRDefault="00F93097" w:rsidP="00F9314B">
      <w:pPr>
        <w:pStyle w:val="BulletHymans"/>
        <w:numPr>
          <w:ilvl w:val="0"/>
          <w:numId w:val="16"/>
        </w:numPr>
      </w:pPr>
      <w:r>
        <w:t xml:space="preserve">failure to pay any sums due within the period required </w:t>
      </w:r>
    </w:p>
    <w:p w14:paraId="05CCF9F6" w14:textId="77777777" w:rsidR="00F93097" w:rsidRDefault="00F93097" w:rsidP="00F9314B">
      <w:pPr>
        <w:pStyle w:val="BulletHymans"/>
        <w:numPr>
          <w:ilvl w:val="0"/>
          <w:numId w:val="16"/>
        </w:numPr>
      </w:pPr>
      <w:r>
        <w:t>failure to renew or adjust the level of a bond or indemnity, or to confirm an appropriate alternative guarantor</w:t>
      </w:r>
    </w:p>
    <w:p w14:paraId="239E0AA4" w14:textId="77777777" w:rsidR="00F93097" w:rsidRDefault="00F93097" w:rsidP="00F9314B">
      <w:pPr>
        <w:pStyle w:val="BulletHymans"/>
        <w:numPr>
          <w:ilvl w:val="0"/>
          <w:numId w:val="16"/>
        </w:numPr>
      </w:pPr>
      <w:r>
        <w:t>termination of a deferred debt arrangement (DDA).</w:t>
      </w:r>
    </w:p>
    <w:p w14:paraId="010AF8DE" w14:textId="77777777" w:rsidR="00F93097" w:rsidRDefault="00F93097" w:rsidP="00F93097">
      <w:pPr>
        <w:pStyle w:val="BulletHymans"/>
      </w:pPr>
      <w:r>
        <w:t xml:space="preserve">If no DDA exists, the Administering Authority will instruct the Fund actuary to carry out a cessation valuation to calculate if there is a surplus or a deficit when the Fund leaves the scheme.  </w:t>
      </w:r>
    </w:p>
    <w:p w14:paraId="1CFA1479" w14:textId="77777777" w:rsidR="00F93097" w:rsidRPr="001E7E5F" w:rsidRDefault="00F93097" w:rsidP="00DB668C">
      <w:pPr>
        <w:pStyle w:val="Heading3Num"/>
      </w:pPr>
      <w:bookmarkStart w:id="39" w:name="_Toc86162861"/>
      <w:bookmarkEnd w:id="38"/>
      <w:r>
        <w:t>What happens on cessation</w:t>
      </w:r>
      <w:bookmarkEnd w:id="39"/>
      <w:r>
        <w:t xml:space="preserve">? </w:t>
      </w:r>
    </w:p>
    <w:p w14:paraId="40F025CC" w14:textId="77777777" w:rsidR="00F93097" w:rsidRPr="00424C26" w:rsidRDefault="00F93097" w:rsidP="00F93097">
      <w:pPr>
        <w:pStyle w:val="BodyTextGrey"/>
      </w:pPr>
      <w:r>
        <w:t xml:space="preserve">The Administering Authority must protect the interests of the remaining Fund employers when an employer leaves the scheme. The </w:t>
      </w:r>
      <w:r w:rsidRPr="00424C26">
        <w:t>actuary</w:t>
      </w:r>
      <w:r>
        <w:t xml:space="preserve"> aims to protect remaining </w:t>
      </w:r>
      <w:r w:rsidRPr="00424C26">
        <w:t xml:space="preserve">employers from the </w:t>
      </w:r>
      <w:r>
        <w:t xml:space="preserve">risk of future </w:t>
      </w:r>
      <w:r w:rsidRPr="00424C26">
        <w:t>loss</w:t>
      </w:r>
      <w:r>
        <w:t xml:space="preserve">.  The funding target adopted for the cessation calculation is below. These are defined in </w:t>
      </w:r>
      <w:r w:rsidRPr="00E82D8F">
        <w:t>Appendix D</w:t>
      </w:r>
      <w:r>
        <w:t xml:space="preserve">. </w:t>
      </w:r>
    </w:p>
    <w:p w14:paraId="57E6DF28" w14:textId="77777777" w:rsidR="00F93097" w:rsidRPr="00E82D8F" w:rsidRDefault="00F93097" w:rsidP="00F9314B">
      <w:pPr>
        <w:pStyle w:val="BodyTextGrey"/>
        <w:numPr>
          <w:ilvl w:val="4"/>
          <w:numId w:val="5"/>
        </w:numPr>
        <w:ind w:left="709" w:hanging="567"/>
      </w:pPr>
      <w:r w:rsidRPr="00424C26">
        <w:t xml:space="preserve">Where </w:t>
      </w:r>
      <w:r>
        <w:t>there is no g</w:t>
      </w:r>
      <w:r w:rsidRPr="00424C26">
        <w:t>uarantor</w:t>
      </w:r>
      <w:r>
        <w:t xml:space="preserve">, </w:t>
      </w:r>
      <w:r w:rsidRPr="00424C26">
        <w:t xml:space="preserve">cessation liabilities and </w:t>
      </w:r>
      <w:r>
        <w:t xml:space="preserve">a </w:t>
      </w:r>
      <w:r w:rsidRPr="00424C26">
        <w:t xml:space="preserve">final </w:t>
      </w:r>
      <w:r w:rsidRPr="00D21B3D">
        <w:t>surplus/deficit</w:t>
      </w:r>
      <w:r w:rsidRPr="00424C26">
        <w:t xml:space="preserve"> will </w:t>
      </w:r>
      <w:r>
        <w:t xml:space="preserve">usually </w:t>
      </w:r>
      <w:r w:rsidRPr="00424C26">
        <w:t xml:space="preserve">be calculated using </w:t>
      </w:r>
      <w:r>
        <w:t xml:space="preserve">the Fund’s risk-based cessation approach, outlined </w:t>
      </w:r>
      <w:r w:rsidRPr="00E82D8F">
        <w:t>in Appendix G</w:t>
      </w:r>
    </w:p>
    <w:p w14:paraId="4F0BF42C" w14:textId="77777777" w:rsidR="00F93097" w:rsidRDefault="00F93097" w:rsidP="00F9314B">
      <w:pPr>
        <w:pStyle w:val="BodyTextGrey"/>
        <w:numPr>
          <w:ilvl w:val="4"/>
          <w:numId w:val="5"/>
        </w:numPr>
        <w:ind w:left="709" w:hanging="567"/>
      </w:pPr>
      <w:r w:rsidRPr="00424C26">
        <w:t>Where there is a guaranto</w:t>
      </w:r>
      <w:r>
        <w:t xml:space="preserve">r, </w:t>
      </w:r>
      <w:r w:rsidRPr="00424C26">
        <w:t xml:space="preserve">the guarantee will be considered </w:t>
      </w:r>
      <w:r>
        <w:t xml:space="preserve">before the </w:t>
      </w:r>
      <w:r w:rsidRPr="00424C26">
        <w:t>cessation valuation</w:t>
      </w:r>
      <w:r>
        <w:t xml:space="preserve">. </w:t>
      </w:r>
      <w:r w:rsidRPr="00D21B3D">
        <w:t xml:space="preserve">Where the guarantor is a guarantor of last resort, this will have no effect on the cessation valuation. </w:t>
      </w:r>
      <w:r>
        <w:t xml:space="preserve">If this isn’t the case, </w:t>
      </w:r>
      <w:r w:rsidRPr="00D21B3D">
        <w:t xml:space="preserve">cessation may be calculated using the </w:t>
      </w:r>
      <w:r>
        <w:t xml:space="preserve">same basis that was used to calculate liabilities (and the corresponding asset share) on the employer joining the Fund. </w:t>
      </w:r>
    </w:p>
    <w:p w14:paraId="18A31261" w14:textId="77777777" w:rsidR="00F93097" w:rsidRPr="00424C26" w:rsidRDefault="00F93097" w:rsidP="00F9314B">
      <w:pPr>
        <w:pStyle w:val="BodyTextGrey"/>
        <w:numPr>
          <w:ilvl w:val="4"/>
          <w:numId w:val="5"/>
        </w:numPr>
        <w:ind w:left="709" w:hanging="567"/>
      </w:pPr>
      <w:r>
        <w:t xml:space="preserve">Depending on the </w:t>
      </w:r>
      <w:r w:rsidRPr="00424C26">
        <w:t xml:space="preserve">guarantee, it may be possible to transfer the </w:t>
      </w:r>
      <w:r>
        <w:t xml:space="preserve">employer’s </w:t>
      </w:r>
      <w:r w:rsidRPr="00424C26">
        <w:t>liabilities and assets to the guarantor</w:t>
      </w:r>
      <w:r>
        <w:t xml:space="preserve"> </w:t>
      </w:r>
      <w:r w:rsidRPr="00424C26">
        <w:t xml:space="preserve">without </w:t>
      </w:r>
      <w:r>
        <w:t xml:space="preserve">crystallising a </w:t>
      </w:r>
      <w:r w:rsidRPr="00D21B3D">
        <w:t>deficit or surplus. This</w:t>
      </w:r>
      <w:r w:rsidRPr="00424C26">
        <w:t xml:space="preserve"> </w:t>
      </w:r>
      <w:r>
        <w:t xml:space="preserve">may happen if an </w:t>
      </w:r>
      <w:r w:rsidRPr="00424C26">
        <w:t>employer can</w:t>
      </w:r>
      <w:r>
        <w:t xml:space="preserve">’t </w:t>
      </w:r>
      <w:r w:rsidRPr="00424C26">
        <w:t>pay the contributions due</w:t>
      </w:r>
      <w:r>
        <w:t xml:space="preserve"> and the approach is </w:t>
      </w:r>
      <w:r w:rsidRPr="00424C26">
        <w:t xml:space="preserve">within </w:t>
      </w:r>
      <w:proofErr w:type="gramStart"/>
      <w:r>
        <w:t>guarantee</w:t>
      </w:r>
      <w:proofErr w:type="gramEnd"/>
      <w:r w:rsidRPr="00424C26">
        <w:t xml:space="preserve"> terms</w:t>
      </w:r>
      <w:r>
        <w:t xml:space="preserve">. </w:t>
      </w:r>
    </w:p>
    <w:p w14:paraId="4304D746" w14:textId="77777777" w:rsidR="00F93097" w:rsidRDefault="00F93097" w:rsidP="00F93097">
      <w:pPr>
        <w:pStyle w:val="BodyTextGrey"/>
      </w:pPr>
      <w:r>
        <w:t xml:space="preserve">If the Fund can’t recover the required payment in full, unpaid amounts will be paid by the related letting authority (in the case of a ceased admission body) or shared between the other Fund employers. This may require an immediate revision to the rates and adjustments certificate or be reflected in the contribution rates set at the next formal valuation. </w:t>
      </w:r>
    </w:p>
    <w:p w14:paraId="2BC36F93" w14:textId="77777777" w:rsidR="00F93097" w:rsidRDefault="00F93097" w:rsidP="00F93097">
      <w:pPr>
        <w:pStyle w:val="BodyTextGrey"/>
      </w:pPr>
      <w:r w:rsidRPr="000046C6">
        <w:t xml:space="preserve">The </w:t>
      </w:r>
      <w:r>
        <w:t>Fund</w:t>
      </w:r>
      <w:r w:rsidRPr="000046C6">
        <w:t xml:space="preserve"> </w:t>
      </w:r>
      <w:r>
        <w:t>a</w:t>
      </w:r>
      <w:r w:rsidRPr="000046C6">
        <w:t>ctuary charges a fee for cessation valuation</w:t>
      </w:r>
      <w:r>
        <w:t xml:space="preserve">s. Fees and expenses are at the employer’s </w:t>
      </w:r>
      <w:r w:rsidRPr="000046C6">
        <w:t xml:space="preserve">expense </w:t>
      </w:r>
      <w:r>
        <w:t xml:space="preserve">and are </w:t>
      </w:r>
      <w:r w:rsidRPr="000046C6">
        <w:t>deducted from the cessation surplus or added to the cessation deficit</w:t>
      </w:r>
      <w:r>
        <w:t>. This im</w:t>
      </w:r>
      <w:r w:rsidRPr="000046C6">
        <w:t xml:space="preserve">proves </w:t>
      </w:r>
      <w:r>
        <w:t xml:space="preserve">efficiency by reducing </w:t>
      </w:r>
      <w:r w:rsidRPr="000046C6">
        <w:t xml:space="preserve">transactions </w:t>
      </w:r>
      <w:r>
        <w:t>between employer and Fund. Costs will be charged even if the cessation does not go ahead.</w:t>
      </w:r>
    </w:p>
    <w:p w14:paraId="039C1766" w14:textId="77777777" w:rsidR="00F93097" w:rsidRDefault="00F93097" w:rsidP="00F93097">
      <w:pPr>
        <w:pStyle w:val="BodyTextGrey"/>
      </w:pPr>
      <w:r w:rsidRPr="00D45372">
        <w:t xml:space="preserve">The </w:t>
      </w:r>
      <w:r>
        <w:t xml:space="preserve">cessation </w:t>
      </w:r>
      <w:r w:rsidRPr="00D45372">
        <w:t xml:space="preserve">policy is </w:t>
      </w:r>
      <w:r>
        <w:t>in Appendix G.</w:t>
      </w:r>
    </w:p>
    <w:p w14:paraId="163A51FD" w14:textId="77777777" w:rsidR="00F93097" w:rsidRDefault="00F93097" w:rsidP="00DB668C">
      <w:pPr>
        <w:pStyle w:val="Heading3Num"/>
      </w:pPr>
      <w:bookmarkStart w:id="40" w:name="_Toc86162862"/>
      <w:r>
        <w:t>What happens if there is a surplus?</w:t>
      </w:r>
      <w:bookmarkEnd w:id="40"/>
    </w:p>
    <w:p w14:paraId="161227FE" w14:textId="77777777" w:rsidR="00AE34F9" w:rsidRPr="00AE34F9" w:rsidRDefault="00F93097" w:rsidP="00AE34F9">
      <w:pPr>
        <w:pStyle w:val="BodyTextGrey"/>
      </w:pPr>
      <w:r>
        <w:t xml:space="preserve">If the cessation valuation shows the exiting employer has more assets than liabilities – an exit credit – the Administering Authority will obtain a revised rates and adjustments certificate showing the exit credit payable to the exiting employer.  </w:t>
      </w:r>
      <w:r w:rsidR="00AE34F9" w:rsidRPr="00AE34F9">
        <w:t>The exit credit will be calculated in line with the approach outlined in Appendix G.</w:t>
      </w:r>
    </w:p>
    <w:p w14:paraId="566817A6" w14:textId="5194FF02" w:rsidR="00F93097" w:rsidRDefault="00F93097" w:rsidP="00F93097">
      <w:pPr>
        <w:pStyle w:val="BodyTextGrey"/>
      </w:pPr>
    </w:p>
    <w:p w14:paraId="726012BE" w14:textId="77777777" w:rsidR="00F93097" w:rsidRDefault="00F93097" w:rsidP="00F93097">
      <w:pPr>
        <w:pStyle w:val="BodyTextGrey"/>
      </w:pPr>
      <w:r>
        <w:t>Full details of th</w:t>
      </w:r>
      <w:r w:rsidRPr="00E82D8F">
        <w:t>e Fund’s approach to cessation valuations can be found in the Fund’s cessation policy (in Appendix G).</w:t>
      </w:r>
    </w:p>
    <w:p w14:paraId="6ABC0240" w14:textId="77777777" w:rsidR="00F93097" w:rsidRDefault="00F93097" w:rsidP="00DB668C">
      <w:pPr>
        <w:pStyle w:val="Heading3Num"/>
      </w:pPr>
      <w:bookmarkStart w:id="41" w:name="_Toc86162863"/>
      <w:r>
        <w:t>How do employers repay cessation debt</w:t>
      </w:r>
      <w:bookmarkEnd w:id="41"/>
      <w:r>
        <w:t xml:space="preserve">s? </w:t>
      </w:r>
    </w:p>
    <w:p w14:paraId="49AF3B93" w14:textId="77777777" w:rsidR="00F93097" w:rsidRDefault="00F93097" w:rsidP="00F93097">
      <w:pPr>
        <w:pStyle w:val="BodyTextGrey"/>
      </w:pPr>
      <w:r>
        <w:t xml:space="preserve">If there is a deficit, full payment will usually be expected in a single lump sum or:  </w:t>
      </w:r>
    </w:p>
    <w:p w14:paraId="628D4693" w14:textId="77777777" w:rsidR="00F93097" w:rsidRDefault="00F93097" w:rsidP="00F9314B">
      <w:pPr>
        <w:pStyle w:val="BodyTextGrey"/>
        <w:numPr>
          <w:ilvl w:val="0"/>
          <w:numId w:val="23"/>
        </w:numPr>
      </w:pPr>
      <w:r>
        <w:t>spread over an agreed period, if the employer enters into a deferred spreading agreement (DSA)</w:t>
      </w:r>
    </w:p>
    <w:p w14:paraId="60D95CE0" w14:textId="77777777" w:rsidR="00F93097" w:rsidRDefault="00F93097" w:rsidP="00F9314B">
      <w:pPr>
        <w:pStyle w:val="BodyTextGrey"/>
        <w:numPr>
          <w:ilvl w:val="0"/>
          <w:numId w:val="23"/>
        </w:numPr>
      </w:pPr>
      <w:r>
        <w:t xml:space="preserve">if an </w:t>
      </w:r>
      <w:proofErr w:type="spellStart"/>
      <w:r>
        <w:t>exiting</w:t>
      </w:r>
      <w:proofErr w:type="spellEnd"/>
      <w:r>
        <w:t xml:space="preserve"> employer enters into a deferred debt agreement (DDA), it stays in the Fund and pays contributions until the cessation debt is repaid (confirmed by the Fund). Payments are reassessed at each formal valuation.</w:t>
      </w:r>
    </w:p>
    <w:p w14:paraId="0DCCF7A9" w14:textId="77777777" w:rsidR="00F93097" w:rsidRDefault="00F93097" w:rsidP="00F93097">
      <w:pPr>
        <w:pStyle w:val="BodyTextGrey"/>
      </w:pPr>
      <w:r>
        <w:t xml:space="preserve">More detail of the flexibilities available to employers on exit can be found in the Fund’s cessation policy. </w:t>
      </w:r>
    </w:p>
    <w:p w14:paraId="0B45D2A8" w14:textId="77777777" w:rsidR="00F93097" w:rsidRPr="00A73DE9" w:rsidRDefault="00F93097" w:rsidP="00DB668C">
      <w:pPr>
        <w:pStyle w:val="Heading3Num"/>
      </w:pPr>
      <w:bookmarkStart w:id="42" w:name="_Toc16078810"/>
      <w:bookmarkStart w:id="43" w:name="_Toc86162864"/>
      <w:r>
        <w:t xml:space="preserve">What if an employer has no </w:t>
      </w:r>
      <w:r w:rsidRPr="00A73DE9">
        <w:t>active members</w:t>
      </w:r>
      <w:bookmarkEnd w:id="42"/>
      <w:bookmarkEnd w:id="43"/>
      <w:r>
        <w:t xml:space="preserve">? </w:t>
      </w:r>
    </w:p>
    <w:p w14:paraId="10AF3CB8" w14:textId="77777777" w:rsidR="00F93097" w:rsidRDefault="00F93097" w:rsidP="00F93097">
      <w:pPr>
        <w:pStyle w:val="BodyTextGrey"/>
      </w:pPr>
      <w:r>
        <w:t xml:space="preserve">When employers leave the Fund because their last active member has left, they may pay a cessation debt, </w:t>
      </w:r>
      <w:r w:rsidRPr="00575F3B">
        <w:t>receive an exit credit</w:t>
      </w:r>
      <w:r>
        <w:t xml:space="preserve"> or enter a DDA/DSA. Beyond this they have no further obligation to the Fund and either:  </w:t>
      </w:r>
    </w:p>
    <w:p w14:paraId="2DB90F79" w14:textId="77777777" w:rsidR="00F93097" w:rsidRPr="00D121B8" w:rsidRDefault="00F93097" w:rsidP="00F9314B">
      <w:pPr>
        <w:pStyle w:val="BodyTextGrey"/>
        <w:numPr>
          <w:ilvl w:val="0"/>
          <w:numId w:val="13"/>
        </w:numPr>
        <w:ind w:left="567" w:hanging="567"/>
      </w:pPr>
      <w:r w:rsidRPr="00D121B8">
        <w:t xml:space="preserve">their asset share runs out before all ex-employees’ </w:t>
      </w:r>
      <w:r>
        <w:t xml:space="preserve">and dependants’ </w:t>
      </w:r>
      <w:r w:rsidRPr="00D121B8">
        <w:t>benefits have been paid. The other Fund employers will be required to contribute to</w:t>
      </w:r>
      <w:r>
        <w:t xml:space="preserve"> fund</w:t>
      </w:r>
      <w:r w:rsidRPr="00D121B8">
        <w:t xml:space="preserve"> the remaining benefits. The Fund actuary will portion the liabilities on a pro-rata basis </w:t>
      </w:r>
      <w:r w:rsidRPr="00873F35">
        <w:t xml:space="preserve">based on </w:t>
      </w:r>
      <w:r>
        <w:t>a methodology agreed at the time with the Fund.</w:t>
      </w:r>
    </w:p>
    <w:p w14:paraId="2F936A60" w14:textId="77777777" w:rsidR="00F93097" w:rsidRPr="00873F35" w:rsidRDefault="00F93097" w:rsidP="00F9314B">
      <w:pPr>
        <w:pStyle w:val="BodyTextGrey"/>
        <w:numPr>
          <w:ilvl w:val="0"/>
          <w:numId w:val="13"/>
        </w:numPr>
        <w:ind w:left="567" w:hanging="567"/>
      </w:pPr>
      <w:r w:rsidRPr="00D121B8">
        <w:t>the last ex-employee or dependant dies before the employer’s asset share is fully run down. The Fund actuary will apportion the remaining assets to the other Fund employers</w:t>
      </w:r>
      <w:r>
        <w:t xml:space="preserve"> on a methodology agreed at the time with the Fund.</w:t>
      </w:r>
    </w:p>
    <w:p w14:paraId="4564C169" w14:textId="77777777" w:rsidR="00F93097" w:rsidRPr="00564BCF" w:rsidRDefault="00F93097" w:rsidP="00F93097">
      <w:pPr>
        <w:pStyle w:val="BodyTextGrey"/>
        <w:sectPr w:rsidR="00F93097" w:rsidRPr="00564BCF" w:rsidSect="002A6F12">
          <w:footerReference w:type="even" r:id="rId16"/>
          <w:footerReference w:type="default" r:id="rId17"/>
          <w:pgSz w:w="11906" w:h="16838" w:code="9"/>
          <w:pgMar w:top="1248" w:right="851" w:bottom="1134" w:left="1134" w:header="720" w:footer="208" w:gutter="0"/>
          <w:pgNumType w:start="1"/>
          <w:cols w:space="708"/>
          <w:titlePg/>
          <w:docGrid w:linePitch="360"/>
        </w:sectPr>
      </w:pPr>
    </w:p>
    <w:p w14:paraId="455CBF7F" w14:textId="77777777" w:rsidR="00F93097" w:rsidRPr="00424C77" w:rsidRDefault="00F93097" w:rsidP="002A6F12">
      <w:pPr>
        <w:pStyle w:val="Heading1Num"/>
      </w:pPr>
      <w:bookmarkStart w:id="44" w:name="_Toc112068182"/>
      <w:bookmarkStart w:id="45" w:name="_Toc16078818"/>
      <w:bookmarkStart w:id="46" w:name="_Toc75445242"/>
      <w:bookmarkStart w:id="47" w:name="_Toc86162866"/>
      <w:r>
        <w:t>What are the s</w:t>
      </w:r>
      <w:r w:rsidRPr="00424C77">
        <w:t xml:space="preserve">tatutory reporting </w:t>
      </w:r>
      <w:r>
        <w:t>requirements?</w:t>
      </w:r>
      <w:bookmarkEnd w:id="44"/>
      <w:r>
        <w:t xml:space="preserve"> </w:t>
      </w:r>
      <w:bookmarkEnd w:id="45"/>
      <w:bookmarkEnd w:id="46"/>
      <w:bookmarkEnd w:id="47"/>
    </w:p>
    <w:p w14:paraId="122B49A0" w14:textId="77777777" w:rsidR="00F93097" w:rsidRPr="00424C77" w:rsidRDefault="00F93097" w:rsidP="00DB668C">
      <w:pPr>
        <w:pStyle w:val="Heading3Num"/>
      </w:pPr>
      <w:r>
        <w:t xml:space="preserve">Reporting regulations </w:t>
      </w:r>
    </w:p>
    <w:p w14:paraId="21B4347A" w14:textId="77777777" w:rsidR="00F93097" w:rsidRPr="00B65A66" w:rsidRDefault="00F93097" w:rsidP="00F93097">
      <w:pPr>
        <w:pStyle w:val="BodyTextGrey"/>
      </w:pPr>
      <w:r>
        <w:t>The Public Service Pensions Act 2013 requires that the Government Actuary’s Department must report to the Scottish Public Pensions Agency (SPPA) acting on behalf of Scottish Ministers on each of the LGPS Funds in Scotland.  This report is usually called a 'Section 13 report’. The report should include confirmation that e</w:t>
      </w:r>
      <w:r w:rsidRPr="00B46E5F">
        <w:t>mployer contributions are set at</w:t>
      </w:r>
      <w:r>
        <w:t xml:space="preserve"> the right level to </w:t>
      </w:r>
      <w:r w:rsidRPr="00B46E5F">
        <w:t xml:space="preserve">ensure the </w:t>
      </w:r>
      <w:r>
        <w:t xml:space="preserve">Fund’s </w:t>
      </w:r>
      <w:r w:rsidRPr="00B46E5F">
        <w:t>solvency and long</w:t>
      </w:r>
      <w:r>
        <w:t>-</w:t>
      </w:r>
      <w:r w:rsidRPr="00B46E5F">
        <w:t>term cost efficiency</w:t>
      </w:r>
      <w:r>
        <w:t xml:space="preserve">. </w:t>
      </w:r>
    </w:p>
    <w:p w14:paraId="194DEC63" w14:textId="77777777" w:rsidR="00F93097" w:rsidRPr="00A73DE9" w:rsidRDefault="00F93097" w:rsidP="00DB668C">
      <w:pPr>
        <w:pStyle w:val="Heading3Num"/>
      </w:pPr>
      <w:bookmarkStart w:id="48" w:name="_Toc16078820"/>
      <w:bookmarkStart w:id="49" w:name="_Toc86162868"/>
      <w:r w:rsidRPr="00A73DE9">
        <w:t>Solvency</w:t>
      </w:r>
      <w:bookmarkEnd w:id="48"/>
      <w:bookmarkEnd w:id="49"/>
    </w:p>
    <w:p w14:paraId="5D72510E" w14:textId="77777777" w:rsidR="00F93097" w:rsidRDefault="00F93097" w:rsidP="00F93097">
      <w:pPr>
        <w:pStyle w:val="BodyTextGrey"/>
      </w:pPr>
      <w:r>
        <w:t xml:space="preserve">Employer contributions are set at an appropriate solvency level if the rate of contribution targets a funding level of 100% over an appropriate time, using appropriate assumptions compared to other funds. Either:  </w:t>
      </w:r>
    </w:p>
    <w:p w14:paraId="059C5DAE" w14:textId="77777777" w:rsidR="00F93097" w:rsidRDefault="00F93097" w:rsidP="00F9314B">
      <w:pPr>
        <w:pStyle w:val="BodyTextGrey"/>
        <w:numPr>
          <w:ilvl w:val="0"/>
          <w:numId w:val="14"/>
        </w:numPr>
      </w:pPr>
      <w:r>
        <w:t>employers collectively can increase their contributions, or the Fund can realise contingencies to target a 100% funding level</w:t>
      </w:r>
    </w:p>
    <w:p w14:paraId="5AC29CA6" w14:textId="77777777" w:rsidR="00F93097" w:rsidRDefault="00F93097" w:rsidP="00F93097">
      <w:pPr>
        <w:pStyle w:val="BodyTextGrey"/>
        <w:ind w:left="567"/>
      </w:pPr>
      <w:r>
        <w:t>or</w:t>
      </w:r>
    </w:p>
    <w:p w14:paraId="77006E3C" w14:textId="77777777" w:rsidR="00F93097" w:rsidRDefault="00F93097" w:rsidP="00F9314B">
      <w:pPr>
        <w:pStyle w:val="BulletHymans"/>
        <w:numPr>
          <w:ilvl w:val="0"/>
          <w:numId w:val="14"/>
        </w:numPr>
      </w:pPr>
      <w:r>
        <w:t xml:space="preserve">there is an appropriate plan in place if there is, or is expected to be, a reduction in employers’ ability to increase contributions as needed. </w:t>
      </w:r>
    </w:p>
    <w:p w14:paraId="6691DD25" w14:textId="77777777" w:rsidR="00F93097" w:rsidRPr="00424C77" w:rsidRDefault="00F93097" w:rsidP="00DB668C">
      <w:pPr>
        <w:pStyle w:val="Heading3Num"/>
      </w:pPr>
      <w:bookmarkStart w:id="50" w:name="_Toc16078821"/>
      <w:bookmarkStart w:id="51" w:name="_Toc86162869"/>
      <w:r w:rsidRPr="00424C77">
        <w:t>Long-term cost efficiency</w:t>
      </w:r>
      <w:bookmarkEnd w:id="50"/>
      <w:bookmarkEnd w:id="51"/>
    </w:p>
    <w:p w14:paraId="04DDBD45" w14:textId="77777777" w:rsidR="00F93097" w:rsidRDefault="00F93097" w:rsidP="00F93097">
      <w:pPr>
        <w:pStyle w:val="BodyTextGrey"/>
      </w:pPr>
      <w:r>
        <w:t xml:space="preserve">Employer contributions are set at an appropriate long-term cost efficiency level if the contribution rate makes provision for the cost of current benefit accrual, with an appropriate adjustment for any surplus or deficit. </w:t>
      </w:r>
    </w:p>
    <w:p w14:paraId="49B2B7F6" w14:textId="77777777" w:rsidR="00F93097" w:rsidRDefault="00F93097" w:rsidP="00F93097">
      <w:pPr>
        <w:pStyle w:val="BodyTextGrey"/>
      </w:pPr>
      <w:r>
        <w:t>To assess this, the Administering Authority may consider absol</w:t>
      </w:r>
      <w:r w:rsidRPr="008F19B7">
        <w:t xml:space="preserve">ute and relative </w:t>
      </w:r>
      <w:r>
        <w:t xml:space="preserve">factors. </w:t>
      </w:r>
    </w:p>
    <w:p w14:paraId="68484589" w14:textId="77777777" w:rsidR="00F93097" w:rsidRDefault="00F93097" w:rsidP="00F93097">
      <w:pPr>
        <w:pStyle w:val="BodyTextGrey"/>
      </w:pPr>
      <w:r w:rsidRPr="008F19B7">
        <w:t xml:space="preserve">Relative </w:t>
      </w:r>
      <w:r>
        <w:t>factors</w:t>
      </w:r>
      <w:r w:rsidRPr="008F19B7">
        <w:t xml:space="preserve"> include:</w:t>
      </w:r>
    </w:p>
    <w:p w14:paraId="37A08B8F" w14:textId="77777777" w:rsidR="00F93097" w:rsidRPr="008F19B7" w:rsidRDefault="00F93097" w:rsidP="00F9314B">
      <w:pPr>
        <w:pStyle w:val="BodyTextGrey"/>
        <w:numPr>
          <w:ilvl w:val="0"/>
          <w:numId w:val="18"/>
        </w:numPr>
      </w:pPr>
      <w:r>
        <w:t xml:space="preserve">comparing LGPS funds with each other </w:t>
      </w:r>
    </w:p>
    <w:p w14:paraId="2516D148" w14:textId="77777777" w:rsidR="00F93097" w:rsidRPr="008F19B7" w:rsidRDefault="00F93097" w:rsidP="00F9314B">
      <w:pPr>
        <w:pStyle w:val="BulletHymans"/>
        <w:numPr>
          <w:ilvl w:val="0"/>
          <w:numId w:val="18"/>
        </w:numPr>
      </w:pPr>
      <w:r w:rsidRPr="008F19B7">
        <w:t>the implied deficit recovery period</w:t>
      </w:r>
    </w:p>
    <w:p w14:paraId="776772F2" w14:textId="77777777" w:rsidR="00F93097" w:rsidRPr="008F19B7" w:rsidRDefault="00F93097" w:rsidP="00F9314B">
      <w:pPr>
        <w:pStyle w:val="BulletHymans"/>
        <w:numPr>
          <w:ilvl w:val="0"/>
          <w:numId w:val="18"/>
        </w:numPr>
      </w:pPr>
      <w:r w:rsidRPr="008F19B7">
        <w:t xml:space="preserve">the investment return required to achieve full funding after </w:t>
      </w:r>
      <w:r>
        <w:t>18</w:t>
      </w:r>
      <w:r w:rsidRPr="008F19B7">
        <w:t xml:space="preserve"> years. </w:t>
      </w:r>
    </w:p>
    <w:p w14:paraId="56B1AC2B" w14:textId="77777777" w:rsidR="00F93097" w:rsidRPr="00434C58" w:rsidRDefault="00F93097" w:rsidP="00F93097">
      <w:pPr>
        <w:pStyle w:val="BodyTextGrey"/>
      </w:pPr>
      <w:r>
        <w:t>Absolute factors include:</w:t>
      </w:r>
    </w:p>
    <w:p w14:paraId="7926CA01" w14:textId="77777777" w:rsidR="00F93097" w:rsidRDefault="00F93097" w:rsidP="00F9314B">
      <w:pPr>
        <w:pStyle w:val="BulletHymans"/>
        <w:numPr>
          <w:ilvl w:val="0"/>
          <w:numId w:val="19"/>
        </w:numPr>
      </w:pPr>
      <w:r>
        <w:t xml:space="preserve">comparing funds with an objective benchmark </w:t>
      </w:r>
    </w:p>
    <w:p w14:paraId="60208724" w14:textId="77777777" w:rsidR="00F93097" w:rsidRDefault="00F93097" w:rsidP="00F9314B">
      <w:pPr>
        <w:pStyle w:val="BulletHymans"/>
        <w:numPr>
          <w:ilvl w:val="0"/>
          <w:numId w:val="19"/>
        </w:numPr>
      </w:pPr>
      <w:r>
        <w:t>the extent to which contributions will cover the cost of current benefit accrual and interest on any deficit</w:t>
      </w:r>
    </w:p>
    <w:p w14:paraId="5AED56CE" w14:textId="77777777" w:rsidR="00F93097" w:rsidRDefault="00F93097" w:rsidP="00F9314B">
      <w:pPr>
        <w:pStyle w:val="BulletHymans"/>
        <w:numPr>
          <w:ilvl w:val="0"/>
          <w:numId w:val="19"/>
        </w:numPr>
      </w:pPr>
      <w:r>
        <w:t>how the required investment return under relative considerations compares to the estimated future return targeted by the investment strategy</w:t>
      </w:r>
    </w:p>
    <w:p w14:paraId="5E27F7CC" w14:textId="77777777" w:rsidR="00F93097" w:rsidRDefault="00F93097" w:rsidP="00F9314B">
      <w:pPr>
        <w:pStyle w:val="BulletHymans"/>
        <w:numPr>
          <w:ilvl w:val="0"/>
          <w:numId w:val="19"/>
        </w:numPr>
      </w:pPr>
      <w:r>
        <w:t xml:space="preserve">the extent to which contributions paid are in line with expected contributions, based on the rates and adjustment certificate </w:t>
      </w:r>
    </w:p>
    <w:p w14:paraId="3E5A3A94" w14:textId="77777777" w:rsidR="00F93097" w:rsidRDefault="00F93097" w:rsidP="00F9314B">
      <w:pPr>
        <w:pStyle w:val="BulletHymans"/>
        <w:numPr>
          <w:ilvl w:val="0"/>
          <w:numId w:val="19"/>
        </w:numPr>
      </w:pPr>
      <w:r>
        <w:t xml:space="preserve">how any new deficit recovery plan reconciles with, and can be a continuation of, any previous deficit recovery plan, allowing for Fund experience. </w:t>
      </w:r>
    </w:p>
    <w:p w14:paraId="26862811" w14:textId="77777777" w:rsidR="00F93097" w:rsidRDefault="00F93097" w:rsidP="00F93097">
      <w:pPr>
        <w:pStyle w:val="BodyTextGrey"/>
        <w:rPr>
          <w:rFonts w:ascii="Times New Roman" w:hAnsi="Times New Roman" w:cs="Times New Roman"/>
          <w:color w:val="auto"/>
          <w:sz w:val="24"/>
          <w:szCs w:val="24"/>
        </w:rPr>
      </w:pPr>
      <w:r>
        <w:t xml:space="preserve">These metrics may be assessed by GAD and SPPA on a standardised market-related basis where the Fund’s actuarial bases don’t offer straightforward comparisons. </w:t>
      </w:r>
      <w:r>
        <w:rPr>
          <w:rFonts w:ascii="Times New Roman" w:hAnsi="Times New Roman" w:cs="Times New Roman"/>
          <w:color w:val="auto"/>
          <w:sz w:val="24"/>
          <w:szCs w:val="24"/>
        </w:rPr>
        <w:t xml:space="preserve"> </w:t>
      </w:r>
    </w:p>
    <w:p w14:paraId="03BBE806" w14:textId="201FC606" w:rsidR="004F423D" w:rsidRDefault="004F423D" w:rsidP="002A6F12">
      <w:pPr>
        <w:pStyle w:val="Heading2"/>
      </w:pPr>
      <w:bookmarkStart w:id="52" w:name="_Toc16081862"/>
      <w:bookmarkStart w:id="53" w:name="_Toc16081910"/>
      <w:bookmarkStart w:id="54" w:name="_Toc75375187"/>
      <w:bookmarkStart w:id="55" w:name="_Toc75445256"/>
      <w:bookmarkStart w:id="56" w:name="_Toc110256349"/>
      <w:bookmarkStart w:id="57" w:name="_Toc152160459"/>
    </w:p>
    <w:p w14:paraId="103EF176" w14:textId="77777777" w:rsidR="00F93097" w:rsidRPr="002A6F12" w:rsidRDefault="00F93097" w:rsidP="002A6F12">
      <w:pPr>
        <w:pStyle w:val="Heading2"/>
      </w:pPr>
      <w:r w:rsidRPr="002A6F12">
        <w:t>Appendix A – The regulatory framework</w:t>
      </w:r>
      <w:bookmarkEnd w:id="52"/>
      <w:bookmarkEnd w:id="53"/>
      <w:bookmarkEnd w:id="54"/>
      <w:bookmarkEnd w:id="55"/>
      <w:bookmarkEnd w:id="56"/>
      <w:bookmarkEnd w:id="57"/>
    </w:p>
    <w:p w14:paraId="59C1EE71" w14:textId="692D54A9" w:rsidR="00F93097" w:rsidRPr="00424C77" w:rsidRDefault="00F93097" w:rsidP="00DB668C">
      <w:pPr>
        <w:pStyle w:val="Appendix2"/>
      </w:pPr>
      <w:bookmarkStart w:id="58" w:name="_Toc86162870"/>
      <w:bookmarkStart w:id="59" w:name="_Toc16078822"/>
      <w:r>
        <w:t xml:space="preserve">A1 </w:t>
      </w:r>
      <w:r w:rsidR="00DB668C">
        <w:tab/>
      </w:r>
      <w:r w:rsidRPr="00424C77">
        <w:t>Why do funds need a funding strategy statement?</w:t>
      </w:r>
      <w:bookmarkEnd w:id="58"/>
      <w:r w:rsidRPr="00424C77">
        <w:t xml:space="preserve"> </w:t>
      </w:r>
      <w:bookmarkEnd w:id="59"/>
    </w:p>
    <w:p w14:paraId="7FE55630" w14:textId="77777777" w:rsidR="00F93097" w:rsidRDefault="00F93097" w:rsidP="00F93097">
      <w:pPr>
        <w:pStyle w:val="BodyTextGrey"/>
      </w:pPr>
      <w:r>
        <w:t xml:space="preserve">The Local Government Pension Scheme (LGPS) regulations require funds to maintain and publish a funding strategy statement (FSS). The purpose of the FSS is to document the processes the Administering Authority uses to: </w:t>
      </w:r>
    </w:p>
    <w:p w14:paraId="1C287A48" w14:textId="77777777" w:rsidR="00F93097" w:rsidRPr="009F6791" w:rsidRDefault="00F93097" w:rsidP="00F9314B">
      <w:pPr>
        <w:pStyle w:val="BulletHymans"/>
        <w:numPr>
          <w:ilvl w:val="0"/>
          <w:numId w:val="2"/>
        </w:numPr>
        <w:rPr>
          <w:i/>
        </w:rPr>
      </w:pPr>
      <w:r w:rsidRPr="009F6791">
        <w:rPr>
          <w:i/>
        </w:rPr>
        <w:t xml:space="preserve">establish a </w:t>
      </w:r>
      <w:r w:rsidRPr="009F6791">
        <w:rPr>
          <w:b/>
          <w:i/>
        </w:rPr>
        <w:t xml:space="preserve">clear and transparent </w:t>
      </w:r>
      <w:r>
        <w:rPr>
          <w:b/>
          <w:i/>
        </w:rPr>
        <w:t>Fund</w:t>
      </w:r>
      <w:r w:rsidRPr="009F6791">
        <w:rPr>
          <w:b/>
          <w:i/>
        </w:rPr>
        <w:t>-specific strategy</w:t>
      </w:r>
      <w:r w:rsidRPr="009F6791">
        <w:rPr>
          <w:i/>
        </w:rPr>
        <w:t xml:space="preserve"> </w:t>
      </w:r>
      <w:r>
        <w:rPr>
          <w:i/>
        </w:rPr>
        <w:t xml:space="preserve">identifying </w:t>
      </w:r>
      <w:r w:rsidRPr="009F6791">
        <w:rPr>
          <w:i/>
        </w:rPr>
        <w:t>how employers</w:t>
      </w:r>
      <w:r>
        <w:rPr>
          <w:i/>
        </w:rPr>
        <w:t xml:space="preserve">’ </w:t>
      </w:r>
      <w:r w:rsidRPr="009F6791">
        <w:rPr>
          <w:i/>
        </w:rPr>
        <w:t>pension liabilities are best met going forward</w:t>
      </w:r>
    </w:p>
    <w:p w14:paraId="57E7E5F6" w14:textId="77777777" w:rsidR="00F93097" w:rsidRPr="00D21B3D" w:rsidRDefault="00F93097" w:rsidP="00F9314B">
      <w:pPr>
        <w:pStyle w:val="BulletHymans"/>
        <w:numPr>
          <w:ilvl w:val="0"/>
          <w:numId w:val="2"/>
        </w:numPr>
        <w:rPr>
          <w:i/>
        </w:rPr>
      </w:pPr>
      <w:r w:rsidRPr="009F6791">
        <w:rPr>
          <w:i/>
        </w:rPr>
        <w:t xml:space="preserve">support the regulatory framework to maintain </w:t>
      </w:r>
      <w:r w:rsidRPr="009F6791">
        <w:rPr>
          <w:b/>
          <w:i/>
        </w:rPr>
        <w:t>as nearly constant employer contribution rates as possible</w:t>
      </w:r>
    </w:p>
    <w:p w14:paraId="766DE4FB" w14:textId="77777777" w:rsidR="00F93097" w:rsidRPr="009F6791" w:rsidRDefault="00F93097" w:rsidP="00F9314B">
      <w:pPr>
        <w:pStyle w:val="BulletHymans"/>
        <w:numPr>
          <w:ilvl w:val="0"/>
          <w:numId w:val="2"/>
        </w:numPr>
        <w:rPr>
          <w:i/>
        </w:rPr>
      </w:pPr>
      <w:r>
        <w:rPr>
          <w:i/>
        </w:rPr>
        <w:t xml:space="preserve">ensure the Fund meets its </w:t>
      </w:r>
      <w:r w:rsidRPr="00D21B3D">
        <w:rPr>
          <w:b/>
          <w:bCs/>
          <w:i/>
        </w:rPr>
        <w:t>solvency and long-term cost efficiency</w:t>
      </w:r>
      <w:r>
        <w:rPr>
          <w:i/>
        </w:rPr>
        <w:t xml:space="preserve"> objectives  </w:t>
      </w:r>
      <w:r w:rsidRPr="009F6791">
        <w:rPr>
          <w:i/>
        </w:rPr>
        <w:t xml:space="preserve"> </w:t>
      </w:r>
    </w:p>
    <w:p w14:paraId="70F6707C" w14:textId="77777777" w:rsidR="00F93097" w:rsidRDefault="00F93097" w:rsidP="00F9314B">
      <w:pPr>
        <w:pStyle w:val="BulletHymans"/>
        <w:numPr>
          <w:ilvl w:val="0"/>
          <w:numId w:val="2"/>
        </w:numPr>
        <w:rPr>
          <w:i/>
        </w:rPr>
      </w:pPr>
      <w:r w:rsidRPr="009F6791">
        <w:rPr>
          <w:i/>
        </w:rPr>
        <w:t xml:space="preserve">take a </w:t>
      </w:r>
      <w:r w:rsidRPr="009F6791">
        <w:rPr>
          <w:b/>
          <w:i/>
        </w:rPr>
        <w:t>prudent longer-term view</w:t>
      </w:r>
      <w:r w:rsidRPr="009F6791">
        <w:rPr>
          <w:i/>
        </w:rPr>
        <w:t xml:space="preserve"> of funding those liabilities.</w:t>
      </w:r>
    </w:p>
    <w:p w14:paraId="39463644" w14:textId="77777777" w:rsidR="00F93097" w:rsidRDefault="00F93097" w:rsidP="00F93097">
      <w:pPr>
        <w:pStyle w:val="BodyTextGrey"/>
      </w:pPr>
      <w:r>
        <w:t xml:space="preserve">To prepare this FSS, the Administering Authority has used guidance by the Chartered Institute of Public Finance and Accountancy (CIPFA).  </w:t>
      </w:r>
    </w:p>
    <w:p w14:paraId="559C93DC" w14:textId="0B15CFE2" w:rsidR="00F93097" w:rsidRDefault="00F93097" w:rsidP="00DB668C">
      <w:pPr>
        <w:pStyle w:val="Appendix2"/>
      </w:pPr>
      <w:bookmarkStart w:id="60" w:name="_Toc86162871"/>
      <w:bookmarkStart w:id="61" w:name="_Toc16078823"/>
      <w:r>
        <w:t xml:space="preserve">A2 </w:t>
      </w:r>
      <w:r w:rsidR="00DB668C">
        <w:tab/>
      </w:r>
      <w:r>
        <w:t>Consultation</w:t>
      </w:r>
      <w:bookmarkEnd w:id="60"/>
      <w:r>
        <w:t xml:space="preserve">  </w:t>
      </w:r>
      <w:bookmarkEnd w:id="61"/>
    </w:p>
    <w:p w14:paraId="72E151DC" w14:textId="77777777" w:rsidR="00F93097" w:rsidRPr="00BE650F" w:rsidRDefault="00F93097" w:rsidP="00F93097">
      <w:pPr>
        <w:pStyle w:val="BodyTextGrey"/>
      </w:pPr>
      <w:r>
        <w:t>Both the LGPS regulations and most recent CIPFA guidance state the FSS should be prepared in consultation with “</w:t>
      </w:r>
      <w:r w:rsidRPr="00BE650F">
        <w:rPr>
          <w:i/>
          <w:iCs w:val="0"/>
        </w:rPr>
        <w:t>persons the authority considers appropriate</w:t>
      </w:r>
      <w:r w:rsidRPr="00BE650F">
        <w:t>”. This should include ‘</w:t>
      </w:r>
      <w:r w:rsidRPr="00BE650F">
        <w:rPr>
          <w:i/>
          <w:iCs w:val="0"/>
        </w:rPr>
        <w:t xml:space="preserve">meaningful dialogue… with council tax raising authorities and representatives of other participating </w:t>
      </w:r>
      <w:proofErr w:type="gramStart"/>
      <w:r w:rsidRPr="00BE650F">
        <w:rPr>
          <w:i/>
          <w:iCs w:val="0"/>
        </w:rPr>
        <w:t>employers</w:t>
      </w:r>
      <w:r w:rsidRPr="00BE650F">
        <w:t>’</w:t>
      </w:r>
      <w:proofErr w:type="gramEnd"/>
      <w:r w:rsidRPr="00BE650F">
        <w:t>.</w:t>
      </w:r>
    </w:p>
    <w:p w14:paraId="490E5730" w14:textId="77777777" w:rsidR="00F93097" w:rsidRPr="00BE650F" w:rsidRDefault="00F93097" w:rsidP="00F93097">
      <w:pPr>
        <w:pStyle w:val="BodyTextGrey"/>
      </w:pPr>
      <w:r w:rsidRPr="00BE650F">
        <w:t xml:space="preserve">The consultation process included issuing </w:t>
      </w:r>
      <w:r w:rsidRPr="00873F35">
        <w:t>a draft version to participating employers and offering the opportunity to discuss any key aspects. Any policy changes from the previous version of the FSS were highlighted to employers during the process.</w:t>
      </w:r>
      <w:r w:rsidRPr="00BE650F">
        <w:t xml:space="preserve"> </w:t>
      </w:r>
    </w:p>
    <w:p w14:paraId="4633A66D" w14:textId="5ED4C793" w:rsidR="00F93097" w:rsidRDefault="00F93097" w:rsidP="00DB668C">
      <w:pPr>
        <w:pStyle w:val="Appendix2"/>
      </w:pPr>
      <w:bookmarkStart w:id="62" w:name="_Toc16078824"/>
      <w:bookmarkStart w:id="63" w:name="_Toc86162872"/>
      <w:r>
        <w:t xml:space="preserve">A3 </w:t>
      </w:r>
      <w:r w:rsidR="00DB668C">
        <w:tab/>
      </w:r>
      <w:r>
        <w:t>How is the FSS published?</w:t>
      </w:r>
      <w:bookmarkEnd w:id="62"/>
      <w:bookmarkEnd w:id="63"/>
    </w:p>
    <w:p w14:paraId="46848335" w14:textId="77777777" w:rsidR="00F93097" w:rsidRDefault="00F93097" w:rsidP="00F93097">
      <w:pPr>
        <w:pStyle w:val="BodyTextGrey"/>
      </w:pPr>
      <w:r w:rsidRPr="0050189F">
        <w:t xml:space="preserve">The </w:t>
      </w:r>
      <w:r w:rsidRPr="00BE650F">
        <w:t>FSS</w:t>
      </w:r>
      <w:r w:rsidRPr="0050189F">
        <w:t xml:space="preserve"> is</w:t>
      </w:r>
      <w:r>
        <w:t xml:space="preserve"> </w:t>
      </w:r>
    </w:p>
    <w:p w14:paraId="64AA5966" w14:textId="77777777" w:rsidR="00F93097" w:rsidRDefault="00F93097" w:rsidP="002A6F12">
      <w:pPr>
        <w:pStyle w:val="BodyTextGrey"/>
        <w:numPr>
          <w:ilvl w:val="0"/>
          <w:numId w:val="24"/>
        </w:numPr>
        <w:ind w:left="714" w:hanging="357"/>
      </w:pPr>
      <w:r>
        <w:t>Published on the Fund’s website</w:t>
      </w:r>
    </w:p>
    <w:p w14:paraId="76349364" w14:textId="77777777" w:rsidR="00F93097" w:rsidRDefault="00F93097" w:rsidP="002A6F12">
      <w:pPr>
        <w:pStyle w:val="BodyTextGrey"/>
        <w:numPr>
          <w:ilvl w:val="0"/>
          <w:numId w:val="24"/>
        </w:numPr>
        <w:ind w:left="714" w:hanging="357"/>
      </w:pPr>
      <w:r>
        <w:t>Published as part of the Pensions Committee agendas</w:t>
      </w:r>
    </w:p>
    <w:p w14:paraId="5A074E66" w14:textId="77777777" w:rsidR="00F93097" w:rsidRDefault="00F93097" w:rsidP="002A6F12">
      <w:pPr>
        <w:pStyle w:val="BodyTextGrey"/>
        <w:numPr>
          <w:ilvl w:val="0"/>
          <w:numId w:val="24"/>
        </w:numPr>
        <w:ind w:left="714" w:hanging="357"/>
      </w:pPr>
      <w:r>
        <w:t xml:space="preserve">Available freely on request </w:t>
      </w:r>
    </w:p>
    <w:p w14:paraId="65578E9F" w14:textId="23F92E44" w:rsidR="00F93097" w:rsidRDefault="00F93097" w:rsidP="00DB668C">
      <w:pPr>
        <w:pStyle w:val="Appendix2"/>
      </w:pPr>
      <w:bookmarkStart w:id="64" w:name="_Toc16078825"/>
      <w:bookmarkStart w:id="65" w:name="_Toc86162873"/>
      <w:r>
        <w:t xml:space="preserve">A4 </w:t>
      </w:r>
      <w:r w:rsidR="00DB668C">
        <w:tab/>
      </w:r>
      <w:r>
        <w:t>How often is the FSS reviewed?</w:t>
      </w:r>
      <w:bookmarkEnd w:id="64"/>
      <w:bookmarkEnd w:id="65"/>
    </w:p>
    <w:p w14:paraId="6B07555B" w14:textId="77777777" w:rsidR="00F93097" w:rsidRDefault="00F93097" w:rsidP="00F93097">
      <w:pPr>
        <w:pStyle w:val="BodyTextGrey"/>
      </w:pPr>
      <w:r>
        <w:t xml:space="preserve">The FSS is reviewed in detail at least every three years as part of the valuation. Amendments may be made before then if there are regulatory or operational changes. Any amendments will be consulted on, agreed by the </w:t>
      </w:r>
      <w:r w:rsidRPr="00575F3B">
        <w:t>Pensions Committee</w:t>
      </w:r>
      <w:r>
        <w:t xml:space="preserve"> and included in the Committee meeting minutes.</w:t>
      </w:r>
    </w:p>
    <w:p w14:paraId="13627DF8" w14:textId="2970B4B5" w:rsidR="00F93097" w:rsidRDefault="00F93097" w:rsidP="00DB668C">
      <w:pPr>
        <w:pStyle w:val="Appendix2"/>
      </w:pPr>
      <w:bookmarkStart w:id="66" w:name="_Toc16078826"/>
      <w:bookmarkStart w:id="67" w:name="_Toc86162874"/>
      <w:r>
        <w:t xml:space="preserve">A5 </w:t>
      </w:r>
      <w:r w:rsidR="00DB668C">
        <w:tab/>
      </w:r>
      <w:r>
        <w:t>How does the FSS fit into the overall Fund documentation?</w:t>
      </w:r>
      <w:bookmarkEnd w:id="66"/>
      <w:bookmarkEnd w:id="67"/>
    </w:p>
    <w:p w14:paraId="44875AF3" w14:textId="77777777" w:rsidR="00F93097" w:rsidRDefault="00F93097" w:rsidP="00F93097">
      <w:pPr>
        <w:pStyle w:val="BodyTextGrey"/>
      </w:pPr>
      <w:r>
        <w:t xml:space="preserve">The FSS is a summary of the Fund’s approach to funding liabilities. It isn’t exhaustive – the Fund publishes other statements like the </w:t>
      </w:r>
      <w:r w:rsidRPr="00D21B3D">
        <w:t>statement of investment principles</w:t>
      </w:r>
      <w:r>
        <w:t xml:space="preserve">, administration strategy and communications strategy. The Fund’s annual report and accounts also </w:t>
      </w:r>
      <w:proofErr w:type="gramStart"/>
      <w:r>
        <w:t>includes</w:t>
      </w:r>
      <w:proofErr w:type="gramEnd"/>
      <w:r>
        <w:t xml:space="preserve"> up-to-date Fund information. </w:t>
      </w:r>
    </w:p>
    <w:p w14:paraId="17B8FD89" w14:textId="77777777" w:rsidR="00F93097" w:rsidRDefault="00F93097" w:rsidP="00F93097">
      <w:pPr>
        <w:pStyle w:val="BodyTextGrey"/>
      </w:pPr>
      <w:r>
        <w:t>You can see all Fund documentation at www.fifepensionfund.org</w:t>
      </w:r>
    </w:p>
    <w:p w14:paraId="2EE341C5" w14:textId="77777777" w:rsidR="00F93097" w:rsidRPr="00AD1463" w:rsidRDefault="00F93097" w:rsidP="002A6F12">
      <w:pPr>
        <w:pStyle w:val="Heading2"/>
        <w:pageBreakBefore/>
      </w:pPr>
      <w:bookmarkStart w:id="68" w:name="_Toc110256350"/>
      <w:bookmarkStart w:id="69" w:name="_Toc152160460"/>
      <w:bookmarkStart w:id="70" w:name="_Toc16081863"/>
      <w:bookmarkStart w:id="71" w:name="_Toc16081911"/>
      <w:bookmarkStart w:id="72" w:name="_Toc75375188"/>
      <w:bookmarkStart w:id="73" w:name="_Toc75445257"/>
      <w:r w:rsidRPr="00AD1463">
        <w:t xml:space="preserve">Appendix B – </w:t>
      </w:r>
      <w:r>
        <w:t>R</w:t>
      </w:r>
      <w:r w:rsidRPr="00AD1463">
        <w:t>oles and responsibilities</w:t>
      </w:r>
      <w:bookmarkEnd w:id="68"/>
      <w:bookmarkEnd w:id="69"/>
      <w:r w:rsidRPr="00AD1463">
        <w:t xml:space="preserve"> </w:t>
      </w:r>
      <w:bookmarkEnd w:id="70"/>
      <w:bookmarkEnd w:id="71"/>
      <w:bookmarkEnd w:id="72"/>
      <w:bookmarkEnd w:id="73"/>
    </w:p>
    <w:p w14:paraId="5F5EE39A" w14:textId="63D13A99" w:rsidR="00F93097" w:rsidRPr="00940F15" w:rsidRDefault="00F93097" w:rsidP="00DB668C">
      <w:pPr>
        <w:pStyle w:val="Appendix2"/>
      </w:pPr>
      <w:bookmarkStart w:id="74" w:name="_Toc86162875"/>
      <w:bookmarkStart w:id="75" w:name="_Toc16078827"/>
      <w:r>
        <w:t xml:space="preserve">B1 </w:t>
      </w:r>
      <w:r w:rsidR="00DB668C">
        <w:tab/>
      </w:r>
      <w:r w:rsidRPr="00940F15">
        <w:t xml:space="preserve">The </w:t>
      </w:r>
      <w:r>
        <w:t>Administering Authority:</w:t>
      </w:r>
      <w:bookmarkEnd w:id="74"/>
      <w:r>
        <w:t xml:space="preserve"> </w:t>
      </w:r>
      <w:bookmarkEnd w:id="75"/>
    </w:p>
    <w:p w14:paraId="564E7E42" w14:textId="77777777" w:rsidR="00F93097" w:rsidRPr="0048263A" w:rsidRDefault="00F93097" w:rsidP="00F9314B">
      <w:pPr>
        <w:pStyle w:val="NumberHymans"/>
      </w:pPr>
      <w:r w:rsidRPr="0048263A">
        <w:t xml:space="preserve">operates the </w:t>
      </w:r>
      <w:r>
        <w:t>Fund</w:t>
      </w:r>
      <w:r w:rsidRPr="0048263A">
        <w:t xml:space="preserve"> and follows all </w:t>
      </w:r>
      <w:r>
        <w:t>LGPS (Scotland)</w:t>
      </w:r>
      <w:r w:rsidRPr="0048263A">
        <w:t xml:space="preserve"> regulations</w:t>
      </w:r>
    </w:p>
    <w:p w14:paraId="1C4E98B9" w14:textId="77777777" w:rsidR="00F93097" w:rsidRPr="0048263A" w:rsidRDefault="00F93097" w:rsidP="00F9314B">
      <w:pPr>
        <w:pStyle w:val="NumberHymans"/>
      </w:pPr>
      <w:r w:rsidRPr="0048263A">
        <w:t xml:space="preserve">manages any conflicts of interest from its dual role as </w:t>
      </w:r>
      <w:r>
        <w:t>Administering Authority</w:t>
      </w:r>
      <w:r w:rsidRPr="0048263A">
        <w:t xml:space="preserve"> and a </w:t>
      </w:r>
      <w:r>
        <w:t>Fund</w:t>
      </w:r>
      <w:r w:rsidRPr="0048263A">
        <w:t xml:space="preserve"> employer</w:t>
      </w:r>
    </w:p>
    <w:p w14:paraId="0E45B685" w14:textId="77777777" w:rsidR="00F93097" w:rsidRPr="0048263A" w:rsidRDefault="00F93097" w:rsidP="00F9314B">
      <w:pPr>
        <w:pStyle w:val="NumberHymans"/>
      </w:pPr>
      <w:r w:rsidRPr="0048263A">
        <w:t xml:space="preserve">collects employer and employee contributions, investment income and other amounts due </w:t>
      </w:r>
    </w:p>
    <w:p w14:paraId="2377C078" w14:textId="77777777" w:rsidR="00F93097" w:rsidRPr="0048263A" w:rsidRDefault="00F93097" w:rsidP="00F9314B">
      <w:pPr>
        <w:pStyle w:val="NumberHymans"/>
      </w:pPr>
      <w:r w:rsidRPr="0048263A">
        <w:t>ensures cash is available to meet benefit payments when due</w:t>
      </w:r>
    </w:p>
    <w:p w14:paraId="441F7F41" w14:textId="77777777" w:rsidR="00F93097" w:rsidRPr="0048263A" w:rsidRDefault="00F93097" w:rsidP="00F9314B">
      <w:pPr>
        <w:pStyle w:val="NumberHymans"/>
      </w:pPr>
      <w:r w:rsidRPr="0048263A">
        <w:t xml:space="preserve">pays all benefits and entitlements </w:t>
      </w:r>
    </w:p>
    <w:p w14:paraId="0761BB48" w14:textId="77777777" w:rsidR="00F93097" w:rsidRPr="0048263A" w:rsidRDefault="00F93097" w:rsidP="00F9314B">
      <w:pPr>
        <w:pStyle w:val="NumberHymans"/>
      </w:pPr>
      <w:r w:rsidRPr="0048263A">
        <w:t xml:space="preserve">invests surplus money like contributions and income which isn’t needed to pay immediate benefits, in line with regulation and the </w:t>
      </w:r>
      <w:r>
        <w:t>Statement of Investment Principles (SIP)</w:t>
      </w:r>
    </w:p>
    <w:p w14:paraId="4B5A6464" w14:textId="77777777" w:rsidR="00F93097" w:rsidRPr="0048263A" w:rsidRDefault="00F93097" w:rsidP="00F9314B">
      <w:pPr>
        <w:pStyle w:val="NumberHymans"/>
      </w:pPr>
      <w:r w:rsidRPr="0048263A">
        <w:t>communicates with employers so they understand their obligations</w:t>
      </w:r>
    </w:p>
    <w:p w14:paraId="65CA22BF" w14:textId="77777777" w:rsidR="00F93097" w:rsidRPr="0048263A" w:rsidRDefault="00F93097" w:rsidP="00F9314B">
      <w:pPr>
        <w:pStyle w:val="NumberHymans"/>
      </w:pPr>
      <w:r w:rsidRPr="0048263A">
        <w:t xml:space="preserve">safeguards the </w:t>
      </w:r>
      <w:r>
        <w:t>Fund</w:t>
      </w:r>
      <w:r w:rsidRPr="0048263A">
        <w:t xml:space="preserve"> against employer default</w:t>
      </w:r>
    </w:p>
    <w:p w14:paraId="16A3F219" w14:textId="77777777" w:rsidR="00F93097" w:rsidRPr="0048263A" w:rsidRDefault="00F93097" w:rsidP="00F9314B">
      <w:pPr>
        <w:pStyle w:val="NumberHymans"/>
      </w:pPr>
      <w:r w:rsidRPr="0048263A">
        <w:t xml:space="preserve">works with the </w:t>
      </w:r>
      <w:r>
        <w:t xml:space="preserve">Fund </w:t>
      </w:r>
      <w:r w:rsidRPr="0048263A">
        <w:t xml:space="preserve">actuary to manage the valuation process </w:t>
      </w:r>
    </w:p>
    <w:p w14:paraId="2A8B7476" w14:textId="77777777" w:rsidR="00F93097" w:rsidRPr="0048263A" w:rsidRDefault="00F93097" w:rsidP="00F9314B">
      <w:pPr>
        <w:pStyle w:val="NumberHymans"/>
      </w:pPr>
      <w:r w:rsidRPr="0048263A">
        <w:t>provides information to the Government Actuary</w:t>
      </w:r>
      <w:r>
        <w:t>’s</w:t>
      </w:r>
      <w:r w:rsidRPr="0048263A">
        <w:t xml:space="preserve"> Department so they can carry out their statutory obligations </w:t>
      </w:r>
    </w:p>
    <w:p w14:paraId="42FFA25E" w14:textId="77777777" w:rsidR="00F93097" w:rsidRPr="0048263A" w:rsidRDefault="00F93097" w:rsidP="00F9314B">
      <w:pPr>
        <w:pStyle w:val="NumberHymans"/>
      </w:pPr>
      <w:r w:rsidRPr="0048263A">
        <w:t xml:space="preserve">consults on, prepares and maintains the </w:t>
      </w:r>
      <w:r>
        <w:t xml:space="preserve">funding and </w:t>
      </w:r>
      <w:r w:rsidRPr="0048263A">
        <w:t>investment strategy statement</w:t>
      </w:r>
      <w:r>
        <w:t>s</w:t>
      </w:r>
      <w:r w:rsidRPr="0048263A">
        <w:t xml:space="preserve">  </w:t>
      </w:r>
    </w:p>
    <w:p w14:paraId="6404BF45" w14:textId="77777777" w:rsidR="00F93097" w:rsidRPr="0048263A" w:rsidRDefault="00F93097" w:rsidP="00F9314B">
      <w:pPr>
        <w:pStyle w:val="NumberHymans"/>
      </w:pPr>
      <w:r w:rsidRPr="0048263A">
        <w:t xml:space="preserve">tells the actuary about changes which could affect funding  </w:t>
      </w:r>
    </w:p>
    <w:p w14:paraId="252AB314" w14:textId="77777777" w:rsidR="00F93097" w:rsidRPr="008E6618" w:rsidRDefault="00F93097" w:rsidP="00F9314B">
      <w:pPr>
        <w:pStyle w:val="NumberHymans"/>
      </w:pPr>
      <w:r w:rsidRPr="0048263A">
        <w:t xml:space="preserve">monitors the </w:t>
      </w:r>
      <w:r>
        <w:t>Fund</w:t>
      </w:r>
      <w:r w:rsidRPr="0048263A">
        <w:t xml:space="preserve">’s performance and funding, amending the </w:t>
      </w:r>
      <w:r>
        <w:t>strategy statements as n</w:t>
      </w:r>
      <w:r w:rsidRPr="0048263A">
        <w:t xml:space="preserve">ecessary </w:t>
      </w:r>
    </w:p>
    <w:p w14:paraId="7224C727" w14:textId="77777777" w:rsidR="00F93097" w:rsidRPr="0048263A" w:rsidRDefault="00F93097" w:rsidP="00F9314B">
      <w:pPr>
        <w:pStyle w:val="NumberHymans"/>
      </w:pPr>
      <w:r w:rsidRPr="008E6618">
        <w:t>enables the local pension board to review the valuation process</w:t>
      </w:r>
      <w:r>
        <w:t>.</w:t>
      </w:r>
      <w:bookmarkStart w:id="76" w:name="_Toc16078828"/>
    </w:p>
    <w:p w14:paraId="07F9088D" w14:textId="6CC1FE49" w:rsidR="00F93097" w:rsidRPr="0048263A" w:rsidRDefault="00F93097" w:rsidP="00DB668C">
      <w:pPr>
        <w:pStyle w:val="Appendix2"/>
      </w:pPr>
      <w:bookmarkStart w:id="77" w:name="_Toc86162876"/>
      <w:r w:rsidRPr="0048263A">
        <w:t xml:space="preserve">B2 </w:t>
      </w:r>
      <w:r w:rsidR="00DB668C">
        <w:tab/>
      </w:r>
      <w:r w:rsidRPr="0048263A">
        <w:t>Individual employers:</w:t>
      </w:r>
      <w:bookmarkEnd w:id="77"/>
      <w:r w:rsidRPr="0048263A">
        <w:t xml:space="preserve"> </w:t>
      </w:r>
      <w:bookmarkEnd w:id="76"/>
    </w:p>
    <w:p w14:paraId="77C9B38E" w14:textId="77777777" w:rsidR="00F93097" w:rsidRPr="0048263A" w:rsidRDefault="00F93097" w:rsidP="00F9314B">
      <w:pPr>
        <w:pStyle w:val="NumberHymans"/>
        <w:numPr>
          <w:ilvl w:val="0"/>
          <w:numId w:val="20"/>
        </w:numPr>
      </w:pPr>
      <w:r w:rsidRPr="0048263A">
        <w:t>deduct the correct contributions from employees’ pay</w:t>
      </w:r>
    </w:p>
    <w:p w14:paraId="0FFA407B" w14:textId="77777777" w:rsidR="00F93097" w:rsidRPr="0048263A" w:rsidRDefault="00F93097" w:rsidP="00F9314B">
      <w:pPr>
        <w:pStyle w:val="NumberHymans"/>
        <w:numPr>
          <w:ilvl w:val="0"/>
          <w:numId w:val="20"/>
        </w:numPr>
      </w:pPr>
      <w:r w:rsidRPr="0048263A">
        <w:t>pay all contributions by the due date</w:t>
      </w:r>
    </w:p>
    <w:p w14:paraId="0E8865C2" w14:textId="77777777" w:rsidR="00F93097" w:rsidRPr="0048263A" w:rsidRDefault="00F93097" w:rsidP="00F9314B">
      <w:pPr>
        <w:pStyle w:val="NumberHymans"/>
        <w:numPr>
          <w:ilvl w:val="0"/>
          <w:numId w:val="20"/>
        </w:numPr>
      </w:pPr>
      <w:r w:rsidRPr="0048263A">
        <w:t>have appropriate policies in place to work within the regulatory framework</w:t>
      </w:r>
    </w:p>
    <w:p w14:paraId="21B48A5C" w14:textId="77777777" w:rsidR="00F93097" w:rsidRPr="0048263A" w:rsidRDefault="00F93097" w:rsidP="00F9314B">
      <w:pPr>
        <w:pStyle w:val="NumberHymans"/>
        <w:numPr>
          <w:ilvl w:val="0"/>
          <w:numId w:val="20"/>
        </w:numPr>
      </w:pPr>
      <w:r w:rsidRPr="0048263A">
        <w:t xml:space="preserve">make additional contributions as agreed, for example to augment scheme benefits or early retirement strain </w:t>
      </w:r>
    </w:p>
    <w:p w14:paraId="262CBED2" w14:textId="77777777" w:rsidR="00F93097" w:rsidRPr="0048263A" w:rsidRDefault="00F93097" w:rsidP="00F9314B">
      <w:pPr>
        <w:pStyle w:val="NumberHymans"/>
        <w:numPr>
          <w:ilvl w:val="0"/>
          <w:numId w:val="20"/>
        </w:numPr>
      </w:pPr>
      <w:r w:rsidRPr="0048263A">
        <w:t xml:space="preserve">tell the </w:t>
      </w:r>
      <w:r>
        <w:t>Administering Authority</w:t>
      </w:r>
      <w:r w:rsidRPr="0048263A">
        <w:t xml:space="preserve"> promptly about any changes to circumstances, prospects or membership which could affect future funding.</w:t>
      </w:r>
    </w:p>
    <w:p w14:paraId="1DA13823" w14:textId="77777777" w:rsidR="00F93097" w:rsidRDefault="00F93097" w:rsidP="00F9314B">
      <w:pPr>
        <w:pStyle w:val="NumberHymans"/>
        <w:numPr>
          <w:ilvl w:val="0"/>
          <w:numId w:val="20"/>
        </w:numPr>
      </w:pPr>
      <w:r w:rsidRPr="0048263A">
        <w:t xml:space="preserve">make any required exit payments when leaving the </w:t>
      </w:r>
      <w:r>
        <w:t>Fund.</w:t>
      </w:r>
      <w:bookmarkStart w:id="78" w:name="_Toc16078829"/>
    </w:p>
    <w:p w14:paraId="4CF352E2" w14:textId="69451647" w:rsidR="00F93097" w:rsidRPr="00940F15" w:rsidRDefault="00F93097" w:rsidP="00DB668C">
      <w:pPr>
        <w:pStyle w:val="Appendix2"/>
      </w:pPr>
      <w:bookmarkStart w:id="79" w:name="_Toc86162877"/>
      <w:r>
        <w:t xml:space="preserve">B3 </w:t>
      </w:r>
      <w:r w:rsidR="00DB668C">
        <w:tab/>
      </w:r>
      <w:r w:rsidRPr="00940F15">
        <w:t xml:space="preserve">The </w:t>
      </w:r>
      <w:r>
        <w:t>Fund</w:t>
      </w:r>
      <w:r w:rsidRPr="00940F15">
        <w:t xml:space="preserve"> </w:t>
      </w:r>
      <w:r>
        <w:t>a</w:t>
      </w:r>
      <w:r w:rsidRPr="00940F15">
        <w:t>ctuary:</w:t>
      </w:r>
      <w:bookmarkEnd w:id="78"/>
      <w:bookmarkEnd w:id="79"/>
    </w:p>
    <w:p w14:paraId="2DBF7C79" w14:textId="77777777" w:rsidR="00F93097" w:rsidRDefault="00F93097" w:rsidP="00F9314B">
      <w:pPr>
        <w:pStyle w:val="NumberHymans"/>
        <w:numPr>
          <w:ilvl w:val="0"/>
          <w:numId w:val="21"/>
        </w:numPr>
      </w:pPr>
      <w:r>
        <w:t>prepares valuations, including setting employers’ contribution rates, agreeing assumptions, working within FSS and LGPS regulations and appropriately targeting Fund solvency and long-term cost efficiency</w:t>
      </w:r>
    </w:p>
    <w:p w14:paraId="2616F5AA" w14:textId="77777777" w:rsidR="00F93097" w:rsidRPr="00845BBE" w:rsidRDefault="00F93097" w:rsidP="00F9314B">
      <w:pPr>
        <w:pStyle w:val="NumberHymans"/>
        <w:numPr>
          <w:ilvl w:val="0"/>
          <w:numId w:val="21"/>
        </w:numPr>
      </w:pPr>
      <w:r w:rsidRPr="00845BBE">
        <w:t xml:space="preserve">provides information to the Government Actuary Department so they can carry out their statutory obligations </w:t>
      </w:r>
    </w:p>
    <w:p w14:paraId="59DB4E14" w14:textId="77777777" w:rsidR="00F93097" w:rsidRDefault="00F93097" w:rsidP="00F9314B">
      <w:pPr>
        <w:pStyle w:val="NumberHymans"/>
        <w:numPr>
          <w:ilvl w:val="0"/>
          <w:numId w:val="21"/>
        </w:numPr>
      </w:pPr>
      <w:r>
        <w:t xml:space="preserve">advises on Fund employers, including giving advice about and monitoring bonds or other security </w:t>
      </w:r>
    </w:p>
    <w:p w14:paraId="4D4F2E81" w14:textId="77777777" w:rsidR="00F93097" w:rsidRDefault="00F93097" w:rsidP="00F9314B">
      <w:pPr>
        <w:pStyle w:val="NumberHymans"/>
        <w:numPr>
          <w:ilvl w:val="0"/>
          <w:numId w:val="21"/>
        </w:numPr>
      </w:pPr>
      <w:r>
        <w:t xml:space="preserve">prepares advice and calculations around bulk transfers and individual benefits </w:t>
      </w:r>
    </w:p>
    <w:p w14:paraId="71B7F183" w14:textId="77777777" w:rsidR="00F93097" w:rsidRDefault="00F93097" w:rsidP="00F9314B">
      <w:pPr>
        <w:pStyle w:val="NumberHymans"/>
        <w:numPr>
          <w:ilvl w:val="0"/>
          <w:numId w:val="21"/>
        </w:numPr>
      </w:pPr>
      <w:r>
        <w:t xml:space="preserve">assists the Administering Authority to consider changes to employer contributions between formal valuations </w:t>
      </w:r>
    </w:p>
    <w:p w14:paraId="38B928F3" w14:textId="77777777" w:rsidR="00F93097" w:rsidRDefault="00F93097" w:rsidP="00F9314B">
      <w:pPr>
        <w:pStyle w:val="NumberHymans"/>
        <w:numPr>
          <w:ilvl w:val="0"/>
          <w:numId w:val="21"/>
        </w:numPr>
      </w:pPr>
      <w:r>
        <w:t>advises on terminating employers’ participation in the Fund</w:t>
      </w:r>
    </w:p>
    <w:p w14:paraId="3264BD95" w14:textId="77777777" w:rsidR="00F93097" w:rsidRDefault="00F93097" w:rsidP="00F9314B">
      <w:pPr>
        <w:pStyle w:val="NumberHymans"/>
        <w:numPr>
          <w:ilvl w:val="0"/>
          <w:numId w:val="21"/>
        </w:numPr>
      </w:pPr>
      <w:r>
        <w:t xml:space="preserve">fully reflects actuarial professional guidance and requirements in all advice. </w:t>
      </w:r>
      <w:bookmarkStart w:id="80" w:name="_Toc16078830"/>
    </w:p>
    <w:p w14:paraId="5DC9C5A8" w14:textId="1A748108" w:rsidR="00F93097" w:rsidRPr="00940F15" w:rsidRDefault="00F93097" w:rsidP="00DB668C">
      <w:pPr>
        <w:pStyle w:val="Appendix2"/>
      </w:pPr>
      <w:bookmarkStart w:id="81" w:name="_Toc86162878"/>
      <w:r>
        <w:t xml:space="preserve">B4 </w:t>
      </w:r>
      <w:r w:rsidR="00DB668C">
        <w:tab/>
      </w:r>
      <w:r w:rsidRPr="00940F15">
        <w:t>Other parties:</w:t>
      </w:r>
      <w:bookmarkEnd w:id="80"/>
      <w:bookmarkEnd w:id="81"/>
      <w:r>
        <w:t xml:space="preserve"> </w:t>
      </w:r>
    </w:p>
    <w:p w14:paraId="20B0B7A4" w14:textId="77777777" w:rsidR="00F93097" w:rsidRDefault="00F93097" w:rsidP="00F9314B">
      <w:pPr>
        <w:pStyle w:val="NumberHymans"/>
        <w:numPr>
          <w:ilvl w:val="0"/>
          <w:numId w:val="22"/>
        </w:numPr>
      </w:pPr>
      <w:r>
        <w:t xml:space="preserve">internal and external investment advisers ensure the Statement of Investment Principles (SIP) is consistent with the funding strategy statement </w:t>
      </w:r>
    </w:p>
    <w:p w14:paraId="3681E0DA" w14:textId="77777777" w:rsidR="00F93097" w:rsidRDefault="00F93097" w:rsidP="00F9314B">
      <w:pPr>
        <w:pStyle w:val="NumberHymans"/>
        <w:numPr>
          <w:ilvl w:val="0"/>
          <w:numId w:val="22"/>
        </w:numPr>
      </w:pPr>
      <w:r>
        <w:t>investment managers, custodians and bankers play their part in the effective investment and dis-investment of Fund assets in line with the Statement of Investment Principles</w:t>
      </w:r>
    </w:p>
    <w:p w14:paraId="2F9BCF9B" w14:textId="77777777" w:rsidR="00F93097" w:rsidRDefault="00F93097" w:rsidP="00F9314B">
      <w:pPr>
        <w:pStyle w:val="NumberHymans"/>
        <w:numPr>
          <w:ilvl w:val="0"/>
          <w:numId w:val="22"/>
        </w:numPr>
      </w:pPr>
      <w:r>
        <w:t xml:space="preserve">auditors comply with standards, ensure Fund compliance with requirements, monitor and advise on fraud detection, and sign-off annual reports and financial statements </w:t>
      </w:r>
    </w:p>
    <w:p w14:paraId="077840EF" w14:textId="77777777" w:rsidR="00F93097" w:rsidRDefault="00F93097" w:rsidP="00F9314B">
      <w:pPr>
        <w:pStyle w:val="NumberHymans"/>
        <w:numPr>
          <w:ilvl w:val="0"/>
          <w:numId w:val="22"/>
        </w:numPr>
      </w:pPr>
      <w:r>
        <w:t xml:space="preserve">governance advisers may be asked to advise the Administering Authority on processes and working methods </w:t>
      </w:r>
    </w:p>
    <w:p w14:paraId="2B5FB936" w14:textId="77777777" w:rsidR="00F93097" w:rsidRDefault="00F93097" w:rsidP="00F9314B">
      <w:pPr>
        <w:pStyle w:val="NumberHymans"/>
        <w:numPr>
          <w:ilvl w:val="0"/>
          <w:numId w:val="22"/>
        </w:numPr>
      </w:pPr>
      <w:r>
        <w:t>internal and external legal advisers ensure the Fund complies with all regulations and broader local government requirements, including the Administering Authority’s own procedures</w:t>
      </w:r>
    </w:p>
    <w:p w14:paraId="125122CA" w14:textId="77777777" w:rsidR="00F93097" w:rsidRDefault="00F93097" w:rsidP="00F9314B">
      <w:pPr>
        <w:pStyle w:val="NumberHymans"/>
        <w:numPr>
          <w:ilvl w:val="0"/>
          <w:numId w:val="22"/>
        </w:numPr>
      </w:pPr>
      <w:r>
        <w:t>the SPPA/Scottish Ministers (assisted by the Government Actuary’s Department) and the Scottish LGPS Scheme Advisory Board, should work with LGPS Funds to meet Section 13 requirements.</w:t>
      </w:r>
    </w:p>
    <w:p w14:paraId="4DB04E83" w14:textId="77777777" w:rsidR="00F93097" w:rsidRDefault="00F93097" w:rsidP="00F93097">
      <w:pPr>
        <w:pStyle w:val="NumberHymans"/>
        <w:numPr>
          <w:ilvl w:val="0"/>
          <w:numId w:val="0"/>
        </w:numPr>
        <w:ind w:left="567"/>
      </w:pPr>
    </w:p>
    <w:p w14:paraId="7FC0DB17" w14:textId="77777777" w:rsidR="00F93097" w:rsidRDefault="00F93097" w:rsidP="00F93097">
      <w:pPr>
        <w:pStyle w:val="NumberHymans"/>
        <w:numPr>
          <w:ilvl w:val="0"/>
          <w:numId w:val="0"/>
        </w:numPr>
        <w:ind w:left="567"/>
      </w:pPr>
    </w:p>
    <w:p w14:paraId="24A209F4" w14:textId="77777777" w:rsidR="00F93097" w:rsidRDefault="00F93097" w:rsidP="00F93097">
      <w:pPr>
        <w:spacing w:after="20"/>
      </w:pPr>
      <w:r>
        <w:br w:type="page"/>
      </w:r>
    </w:p>
    <w:p w14:paraId="77648E35" w14:textId="77777777" w:rsidR="00F93097" w:rsidRPr="00AD1463" w:rsidRDefault="00F93097" w:rsidP="00DB668C">
      <w:pPr>
        <w:pStyle w:val="Heading2"/>
      </w:pPr>
      <w:bookmarkStart w:id="82" w:name="_Toc16081864"/>
      <w:bookmarkStart w:id="83" w:name="_Toc16081912"/>
      <w:bookmarkStart w:id="84" w:name="_Toc75375189"/>
      <w:bookmarkStart w:id="85" w:name="_Toc75445258"/>
      <w:bookmarkStart w:id="86" w:name="_Toc110256351"/>
      <w:bookmarkStart w:id="87" w:name="_Toc152160461"/>
      <w:r w:rsidRPr="00AD1463">
        <w:t xml:space="preserve">Appendix C – </w:t>
      </w:r>
      <w:r>
        <w:t xml:space="preserve">Risks </w:t>
      </w:r>
      <w:r w:rsidRPr="00AD1463">
        <w:t>and controls</w:t>
      </w:r>
      <w:bookmarkEnd w:id="82"/>
      <w:bookmarkEnd w:id="83"/>
      <w:bookmarkEnd w:id="84"/>
      <w:bookmarkEnd w:id="85"/>
      <w:bookmarkEnd w:id="86"/>
      <w:bookmarkEnd w:id="87"/>
      <w:r w:rsidRPr="00AD1463">
        <w:t xml:space="preserve"> </w:t>
      </w:r>
    </w:p>
    <w:p w14:paraId="67B08CC6" w14:textId="0286BE37" w:rsidR="00F93097" w:rsidRDefault="00F93097" w:rsidP="00DB668C">
      <w:pPr>
        <w:pStyle w:val="Appendix2"/>
      </w:pPr>
      <w:bookmarkStart w:id="88" w:name="_Toc16078831"/>
      <w:bookmarkStart w:id="89" w:name="_Toc86162879"/>
      <w:r>
        <w:t xml:space="preserve">C1 </w:t>
      </w:r>
      <w:r w:rsidR="00DB668C">
        <w:tab/>
      </w:r>
      <w:r>
        <w:t xml:space="preserve">Managing risks </w:t>
      </w:r>
      <w:bookmarkEnd w:id="88"/>
      <w:bookmarkEnd w:id="89"/>
    </w:p>
    <w:p w14:paraId="7B157C24" w14:textId="77777777" w:rsidR="00F93097" w:rsidRDefault="00F93097" w:rsidP="00F93097">
      <w:pPr>
        <w:pStyle w:val="BodyTextGrey"/>
      </w:pPr>
      <w:r>
        <w:t xml:space="preserve">The Administering Authority has a risk management programme to identify and control financial, demographic, regulatory and governance risks. </w:t>
      </w:r>
    </w:p>
    <w:p w14:paraId="024866B8" w14:textId="77777777" w:rsidR="00F93097" w:rsidRDefault="00F93097" w:rsidP="00F93097">
      <w:pPr>
        <w:pStyle w:val="NumberHymans"/>
        <w:numPr>
          <w:ilvl w:val="0"/>
          <w:numId w:val="0"/>
        </w:numPr>
        <w:ind w:left="567" w:hanging="567"/>
      </w:pPr>
      <w:r w:rsidRPr="00C317A9">
        <w:t>The role of the local pension board is</w:t>
      </w:r>
      <w:r>
        <w:t xml:space="preserve"> set out in its constitution:</w:t>
      </w:r>
    </w:p>
    <w:p w14:paraId="2E995B37" w14:textId="77777777" w:rsidR="00F93097" w:rsidRPr="00C317A9" w:rsidRDefault="00F93097" w:rsidP="00F93097">
      <w:pPr>
        <w:pStyle w:val="NumberHymans"/>
        <w:numPr>
          <w:ilvl w:val="0"/>
          <w:numId w:val="0"/>
        </w:numPr>
        <w:ind w:left="567" w:hanging="567"/>
      </w:pPr>
      <w:hyperlink r:id="rId18" w:history="1">
        <w:r w:rsidRPr="008D116A">
          <w:rPr>
            <w:rStyle w:val="Hyperlink"/>
          </w:rPr>
          <w:t>www.fifepensionfund.org/forms-and-publications/fife-pension-board-constitution</w:t>
        </w:r>
      </w:hyperlink>
      <w:r>
        <w:t xml:space="preserve"> </w:t>
      </w:r>
      <w:r w:rsidRPr="00C317A9">
        <w:t>.</w:t>
      </w:r>
    </w:p>
    <w:p w14:paraId="4C4D1391" w14:textId="77777777" w:rsidR="00F93097" w:rsidRDefault="00F93097" w:rsidP="00F93097">
      <w:pPr>
        <w:pStyle w:val="BodyTextGrey"/>
      </w:pPr>
      <w:r>
        <w:t>Details of the key Fund-specific risks and controls are set out in the Fund’s Risk Register which is presented on annually to the Pensions Committee for approval and reviewed quarterly. The Fund’s latest Risk Register can be accessed as part of the Pensions Committee agenda papers which are published on Fife Council’s website.</w:t>
      </w:r>
    </w:p>
    <w:p w14:paraId="43F47033" w14:textId="063C0133" w:rsidR="00F93097" w:rsidRPr="00D25670" w:rsidRDefault="00F93097" w:rsidP="00DB668C">
      <w:pPr>
        <w:pStyle w:val="Appendix2"/>
      </w:pPr>
      <w:bookmarkStart w:id="90" w:name="_Toc110256352"/>
      <w:bookmarkStart w:id="91" w:name="_Toc16081866"/>
      <w:bookmarkStart w:id="92" w:name="_Toc16081914"/>
      <w:bookmarkStart w:id="93" w:name="_Toc75375190"/>
      <w:bookmarkStart w:id="94" w:name="_Toc75445259"/>
      <w:r w:rsidRPr="00D25670">
        <w:t>C</w:t>
      </w:r>
      <w:r>
        <w:t>2</w:t>
      </w:r>
      <w:r w:rsidRPr="00D25670">
        <w:t xml:space="preserve"> </w:t>
      </w:r>
      <w:r w:rsidR="00DB668C">
        <w:tab/>
      </w:r>
      <w:r w:rsidRPr="00D25670">
        <w:t xml:space="preserve">Employer covenant assessment and monitoring </w:t>
      </w:r>
    </w:p>
    <w:p w14:paraId="13813C28" w14:textId="77777777" w:rsidR="00F93097" w:rsidRPr="009E6647" w:rsidRDefault="00F93097" w:rsidP="00F93097">
      <w:pPr>
        <w:pStyle w:val="BodyTextGrey"/>
      </w:pPr>
      <w:r w:rsidRPr="009E6647">
        <w:t xml:space="preserve">Many of the employers participating in the </w:t>
      </w:r>
      <w:r>
        <w:t>Fund</w:t>
      </w:r>
      <w:r w:rsidRPr="009E6647">
        <w:t xml:space="preserve">, such as </w:t>
      </w:r>
      <w:r>
        <w:t xml:space="preserve">admitted bodies (including </w:t>
      </w:r>
      <w:r w:rsidRPr="009E6647">
        <w:t>TABs and CABs</w:t>
      </w:r>
      <w:r>
        <w:t>)</w:t>
      </w:r>
      <w:r w:rsidRPr="009E6647">
        <w:t xml:space="preserve">, have no local tax-raising powers. The </w:t>
      </w:r>
      <w:r>
        <w:t>Fund</w:t>
      </w:r>
      <w:r w:rsidRPr="009E6647">
        <w:t xml:space="preserve"> assesses and monitors the long-term financial health of these employers to assess an appropriate level of risk for each employer’s funding strategy.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1"/>
        <w:gridCol w:w="3520"/>
        <w:gridCol w:w="3520"/>
      </w:tblGrid>
      <w:tr w:rsidR="00F93097" w:rsidRPr="009E6647" w14:paraId="14CDC757" w14:textId="77777777" w:rsidTr="00B2372C">
        <w:trPr>
          <w:trHeight w:val="458"/>
          <w:tblHeader/>
        </w:trPr>
        <w:tc>
          <w:tcPr>
            <w:tcW w:w="1398" w:type="pct"/>
            <w:vAlign w:val="center"/>
          </w:tcPr>
          <w:p w14:paraId="5FED8606" w14:textId="77777777" w:rsidR="00F93097" w:rsidRPr="009E6647" w:rsidRDefault="00F93097">
            <w:pPr>
              <w:pStyle w:val="BodyTextGrey"/>
              <w:spacing w:after="20"/>
              <w:rPr>
                <w:b/>
                <w:color w:val="4472C4" w:themeColor="accent1"/>
              </w:rPr>
            </w:pPr>
            <w:r w:rsidRPr="009E6647">
              <w:rPr>
                <w:b/>
                <w:color w:val="4472C4" w:themeColor="accent1"/>
              </w:rPr>
              <w:t>Type of employer</w:t>
            </w:r>
          </w:p>
        </w:tc>
        <w:tc>
          <w:tcPr>
            <w:tcW w:w="1801" w:type="pct"/>
            <w:vAlign w:val="center"/>
          </w:tcPr>
          <w:p w14:paraId="363B7690" w14:textId="77777777" w:rsidR="00F93097" w:rsidRPr="009E6647" w:rsidRDefault="00F93097">
            <w:pPr>
              <w:pStyle w:val="BodyTextGrey"/>
              <w:spacing w:after="20"/>
              <w:rPr>
                <w:b/>
                <w:color w:val="4472C4" w:themeColor="accent1"/>
              </w:rPr>
            </w:pPr>
            <w:r w:rsidRPr="009E6647">
              <w:rPr>
                <w:b/>
                <w:color w:val="4472C4" w:themeColor="accent1"/>
              </w:rPr>
              <w:t xml:space="preserve">Assessment </w:t>
            </w:r>
          </w:p>
        </w:tc>
        <w:tc>
          <w:tcPr>
            <w:tcW w:w="1801" w:type="pct"/>
          </w:tcPr>
          <w:p w14:paraId="224038BF" w14:textId="77777777" w:rsidR="00F93097" w:rsidRPr="009E6647" w:rsidRDefault="00F93097">
            <w:pPr>
              <w:pStyle w:val="BodyTextGrey"/>
              <w:spacing w:after="20"/>
              <w:rPr>
                <w:b/>
                <w:color w:val="4472C4" w:themeColor="accent1"/>
              </w:rPr>
            </w:pPr>
            <w:r w:rsidRPr="009E6647">
              <w:rPr>
                <w:b/>
                <w:color w:val="4472C4" w:themeColor="accent1"/>
              </w:rPr>
              <w:t>Monitoring</w:t>
            </w:r>
          </w:p>
        </w:tc>
      </w:tr>
      <w:tr w:rsidR="00F93097" w:rsidRPr="009E6647" w14:paraId="34DB6858" w14:textId="77777777" w:rsidTr="00B2372C">
        <w:tc>
          <w:tcPr>
            <w:tcW w:w="1398" w:type="pct"/>
          </w:tcPr>
          <w:p w14:paraId="356500D0" w14:textId="77777777" w:rsidR="00F93097" w:rsidRPr="004D6D7B" w:rsidRDefault="00F93097">
            <w:pPr>
              <w:pStyle w:val="BodyTextGrey"/>
            </w:pPr>
            <w:r w:rsidRPr="004D6D7B">
              <w:t>Local Authorities, Police, Fire, Colleges</w:t>
            </w:r>
          </w:p>
        </w:tc>
        <w:tc>
          <w:tcPr>
            <w:tcW w:w="1801" w:type="pct"/>
          </w:tcPr>
          <w:p w14:paraId="7EDD0BD8" w14:textId="77777777" w:rsidR="00F93097" w:rsidRPr="004D6D7B" w:rsidRDefault="00F93097">
            <w:pPr>
              <w:pStyle w:val="BodyTextGrey"/>
            </w:pPr>
            <w:r w:rsidRPr="004D6D7B">
              <w:t xml:space="preserve">Tax-raising or government-backed, no individual assessment required </w:t>
            </w:r>
          </w:p>
        </w:tc>
        <w:tc>
          <w:tcPr>
            <w:tcW w:w="1801" w:type="pct"/>
          </w:tcPr>
          <w:p w14:paraId="011C46F9" w14:textId="77777777" w:rsidR="00F93097" w:rsidRPr="004D6D7B" w:rsidRDefault="00F93097">
            <w:pPr>
              <w:pStyle w:val="BodyTextGrey"/>
            </w:pPr>
            <w:r w:rsidRPr="004D6D7B">
              <w:t>n/a</w:t>
            </w:r>
          </w:p>
        </w:tc>
      </w:tr>
      <w:tr w:rsidR="00F93097" w:rsidRPr="009E6647" w14:paraId="7E81BABC" w14:textId="77777777" w:rsidTr="00B2372C">
        <w:tc>
          <w:tcPr>
            <w:tcW w:w="1398" w:type="pct"/>
          </w:tcPr>
          <w:p w14:paraId="603EC00D" w14:textId="77777777" w:rsidR="00F93097" w:rsidRPr="004D6D7B" w:rsidRDefault="00F93097">
            <w:pPr>
              <w:pStyle w:val="BodyTextGrey"/>
            </w:pPr>
            <w:r w:rsidRPr="004D6D7B">
              <w:t xml:space="preserve">Admission bodies (including TABs &amp; CABs) </w:t>
            </w:r>
          </w:p>
        </w:tc>
        <w:tc>
          <w:tcPr>
            <w:tcW w:w="1801" w:type="pct"/>
          </w:tcPr>
          <w:p w14:paraId="625A8E05" w14:textId="77777777" w:rsidR="00F93097" w:rsidRPr="00873F35" w:rsidRDefault="00F93097">
            <w:pPr>
              <w:pStyle w:val="BodyTextGrey"/>
            </w:pPr>
            <w:r w:rsidRPr="00873F35">
              <w:t>Assessments may be commissioned by specialist as appropriate or carried out by Fund Officers.</w:t>
            </w:r>
          </w:p>
        </w:tc>
        <w:tc>
          <w:tcPr>
            <w:tcW w:w="1801" w:type="pct"/>
          </w:tcPr>
          <w:p w14:paraId="47074F80" w14:textId="77777777" w:rsidR="00F93097" w:rsidRPr="00873F35" w:rsidRDefault="00F93097">
            <w:pPr>
              <w:pStyle w:val="BodyTextGrey"/>
            </w:pPr>
            <w:r w:rsidRPr="00873F35">
              <w:t>The Fund will review employers periodically or when a significant event occurs.</w:t>
            </w:r>
          </w:p>
        </w:tc>
      </w:tr>
    </w:tbl>
    <w:p w14:paraId="51E5CB50" w14:textId="77777777" w:rsidR="00F93097" w:rsidRDefault="00F93097" w:rsidP="00DB668C">
      <w:pPr>
        <w:pStyle w:val="Heading4"/>
      </w:pPr>
    </w:p>
    <w:p w14:paraId="77B59034" w14:textId="4706C45E" w:rsidR="00F93097" w:rsidRPr="009E6647" w:rsidRDefault="00F93097" w:rsidP="00DB668C">
      <w:pPr>
        <w:pStyle w:val="Appendix2"/>
      </w:pPr>
      <w:r w:rsidRPr="009E6647">
        <w:t>C</w:t>
      </w:r>
      <w:r>
        <w:t>3</w:t>
      </w:r>
      <w:r w:rsidRPr="009E6647">
        <w:t xml:space="preserve"> </w:t>
      </w:r>
      <w:r w:rsidR="00DB668C">
        <w:tab/>
      </w:r>
      <w:r w:rsidRPr="009E6647">
        <w:t>Climate risk and TCFD reporting</w:t>
      </w:r>
    </w:p>
    <w:p w14:paraId="0B6A1A6C" w14:textId="77777777" w:rsidR="00F93097" w:rsidRPr="00FE275A" w:rsidRDefault="00F93097" w:rsidP="00F93097">
      <w:pPr>
        <w:pStyle w:val="BodyTextGrey"/>
        <w:rPr>
          <w:iCs w:val="0"/>
          <w:color w:val="5B9BD5"/>
        </w:rPr>
      </w:pPr>
      <w:r w:rsidRPr="009E6647">
        <w:t xml:space="preserve">The </w:t>
      </w:r>
      <w:r>
        <w:t>Fund</w:t>
      </w:r>
      <w:r w:rsidRPr="009E6647">
        <w:t xml:space="preserve"> has considered climate-related risks </w:t>
      </w:r>
      <w:r>
        <w:t xml:space="preserve">as part of the 2023 valuation </w:t>
      </w:r>
      <w:r w:rsidRPr="009E6647">
        <w:t xml:space="preserve">when setting the funding strategy. </w:t>
      </w:r>
      <w:r>
        <w:t xml:space="preserve">To consider the resilience of the strategy the Fund has considered climate scenario stress testing as part of an asset-liability modelling exercise. </w:t>
      </w:r>
      <w:r w:rsidRPr="00FE275A">
        <w:t xml:space="preserve">The modelling results under the stress tests were </w:t>
      </w:r>
      <w:r>
        <w:t xml:space="preserve">within risk tolerance levels, particularly given the severity of the stresses applied. </w:t>
      </w:r>
      <w:r w:rsidRPr="00FE275A">
        <w:t>The results provide assurance that the modelling approach does not significantly underestimate the potential impact of climate change and that the funding strategy is resilient to climate risks.  The results of these stress tests may be used in future to assist with disclosures prepared in line with Task Force on Climate-Related Financial Disclosures (TCFD) principles.</w:t>
      </w:r>
    </w:p>
    <w:p w14:paraId="00845AB5" w14:textId="77777777" w:rsidR="00F93097" w:rsidRPr="00FE275A" w:rsidRDefault="00F93097" w:rsidP="00F93097">
      <w:pPr>
        <w:pStyle w:val="BodyTextGrey"/>
      </w:pPr>
      <w:r>
        <w:t xml:space="preserve">The modelling was carried out at whole fund level. Given </w:t>
      </w:r>
      <w:r w:rsidRPr="00FE275A">
        <w:t xml:space="preserve">that the same underlying model is used for all employers </w:t>
      </w:r>
      <w:r>
        <w:t xml:space="preserve">when setting contribution rates, </w:t>
      </w:r>
      <w:r w:rsidRPr="00FE275A">
        <w:t>applying the stress tests to all employers was not deemed proportionate at this stage and would not be expected to result in any changes to the agreed contribution plans.</w:t>
      </w:r>
    </w:p>
    <w:p w14:paraId="70989171" w14:textId="77777777" w:rsidR="00F93097" w:rsidRPr="00873F35" w:rsidRDefault="00F93097" w:rsidP="00F93097">
      <w:pPr>
        <w:pStyle w:val="BodyTextGrey"/>
      </w:pPr>
      <w:r w:rsidRPr="00873F35">
        <w:t>The Fund has a Statement of Responsible Investment Principles which is available on the Fund’s website.</w:t>
      </w:r>
      <w:r w:rsidRPr="00873F35" w:rsidDel="004D6D7B">
        <w:t xml:space="preserve"> </w:t>
      </w:r>
    </w:p>
    <w:p w14:paraId="28108507" w14:textId="77777777" w:rsidR="00F93097" w:rsidRDefault="00F93097" w:rsidP="00F93097">
      <w:pPr>
        <w:pStyle w:val="BodyTextGrey"/>
        <w:rPr>
          <w:highlight w:val="cyan"/>
        </w:rPr>
      </w:pPr>
    </w:p>
    <w:p w14:paraId="1CCC2EFE" w14:textId="77777777" w:rsidR="00F93097" w:rsidRPr="00AD1463" w:rsidRDefault="00F93097" w:rsidP="00DB668C">
      <w:pPr>
        <w:pStyle w:val="Heading2"/>
        <w:pageBreakBefore/>
      </w:pPr>
      <w:bookmarkStart w:id="95" w:name="_Toc152160462"/>
      <w:r w:rsidRPr="00AD1463">
        <w:t>Appendix D – Actuarial assumptions</w:t>
      </w:r>
      <w:bookmarkEnd w:id="90"/>
      <w:bookmarkEnd w:id="95"/>
      <w:r w:rsidRPr="00AD1463">
        <w:t xml:space="preserve">  </w:t>
      </w:r>
    </w:p>
    <w:p w14:paraId="60338AC2" w14:textId="77777777" w:rsidR="00F93097" w:rsidRDefault="00F93097" w:rsidP="00F93097">
      <w:pPr>
        <w:pStyle w:val="BodyTextGrey"/>
      </w:pPr>
      <w:r>
        <w:t xml:space="preserve">The Fund’s actuary uses a set of assumptions to determine the strategy, and so assumptions are a fundamental part of the Funding Strategy Statement. </w:t>
      </w:r>
    </w:p>
    <w:p w14:paraId="345F0F11" w14:textId="69A81584" w:rsidR="00F93097" w:rsidRDefault="00F93097" w:rsidP="00DB668C">
      <w:pPr>
        <w:pStyle w:val="Appendix2"/>
      </w:pPr>
      <w:r>
        <w:t xml:space="preserve">D1 </w:t>
      </w:r>
      <w:r w:rsidR="00DB668C">
        <w:tab/>
      </w:r>
      <w:r>
        <w:t xml:space="preserve">What are assumptions? </w:t>
      </w:r>
    </w:p>
    <w:p w14:paraId="3DD1C9CE" w14:textId="77777777" w:rsidR="00F93097" w:rsidRDefault="00F93097" w:rsidP="00F93097">
      <w:pPr>
        <w:pStyle w:val="BodyTextGrey"/>
      </w:pPr>
      <w:r>
        <w:t xml:space="preserve">Assumptions are used to estimate the benefits due to be paid to members. Financial assumptions determine the amount of benefit to be paid to each member, and the expected investment return on the assets held to meet those benefits.  Demographic assumptions are used to work out when benefit payments are made and for how long. </w:t>
      </w:r>
    </w:p>
    <w:p w14:paraId="3437BA61" w14:textId="77777777" w:rsidR="00F93097" w:rsidRDefault="00F93097" w:rsidP="00F93097">
      <w:pPr>
        <w:pStyle w:val="BodyTextGrey"/>
      </w:pPr>
      <w:r>
        <w:t>The funding target is the money the Fund aims to hold to meet the benefits earned to date.</w:t>
      </w:r>
    </w:p>
    <w:p w14:paraId="58F5ED35" w14:textId="77777777" w:rsidR="00F93097" w:rsidRDefault="00F93097" w:rsidP="00F93097">
      <w:pPr>
        <w:pStyle w:val="BodyTextGrey"/>
      </w:pPr>
      <w:r>
        <w:t xml:space="preserve">Any change in the assumptions will affect the funding target </w:t>
      </w:r>
      <w:r w:rsidRPr="00BC386F">
        <w:t>and contribution rate</w:t>
      </w:r>
      <w:r>
        <w:t>, but different assumptions don’t affect the actual benefits the Fund will pay in future.</w:t>
      </w:r>
    </w:p>
    <w:p w14:paraId="6D99FF84" w14:textId="704E4F87" w:rsidR="00F93097" w:rsidRDefault="00F93097" w:rsidP="00DB668C">
      <w:pPr>
        <w:pStyle w:val="Appendix2"/>
      </w:pPr>
      <w:r>
        <w:t xml:space="preserve">D2 </w:t>
      </w:r>
      <w:r w:rsidR="00DB668C">
        <w:tab/>
      </w:r>
      <w:r>
        <w:t xml:space="preserve">What assumptions are used to set the contribution rate? </w:t>
      </w:r>
    </w:p>
    <w:p w14:paraId="47EC4F0F" w14:textId="77777777" w:rsidR="00F93097" w:rsidRDefault="00F93097" w:rsidP="00F93097">
      <w:pPr>
        <w:pStyle w:val="BodyTextGrey"/>
      </w:pPr>
      <w:r>
        <w:t xml:space="preserve">The Fund doesn’t rely on a single set of assumptions when setting contribution rates, instead using Hymans Robertson’s Economic Scenario Service (ESS) to </w:t>
      </w:r>
      <w:r w:rsidRPr="000613F0">
        <w:t xml:space="preserve">project </w:t>
      </w:r>
      <w:r>
        <w:t>each</w:t>
      </w:r>
      <w:r w:rsidRPr="000613F0">
        <w:t xml:space="preserve"> employer’s assets, benefits and cashflows to the end of the funding time horizon</w:t>
      </w:r>
      <w:r>
        <w:t xml:space="preserve">. </w:t>
      </w:r>
    </w:p>
    <w:p w14:paraId="4FA1BFB3" w14:textId="77777777" w:rsidR="00F93097" w:rsidRDefault="00F93097" w:rsidP="00F93097">
      <w:pPr>
        <w:pStyle w:val="BodyTextGrey"/>
        <w:rPr>
          <w:highlight w:val="green"/>
        </w:rPr>
      </w:pPr>
      <w:r w:rsidRPr="000613F0">
        <w:t>E</w:t>
      </w:r>
      <w:r>
        <w:t xml:space="preserve">SS projects </w:t>
      </w:r>
      <w:r w:rsidRPr="000613F0">
        <w:t>future benefit payments, contribution</w:t>
      </w:r>
      <w:r>
        <w:t>s</w:t>
      </w:r>
      <w:r w:rsidRPr="000613F0">
        <w:t xml:space="preserve"> and investment returns u</w:t>
      </w:r>
      <w:r>
        <w:t>nder</w:t>
      </w:r>
      <w:r w:rsidRPr="000613F0">
        <w:t xml:space="preserve"> 5,000 possible economic scenarios</w:t>
      </w:r>
      <w:r>
        <w:t>, using variables for fu</w:t>
      </w:r>
      <w:r w:rsidRPr="000613F0">
        <w:t>ture inflation and investment returns for each asset class</w:t>
      </w:r>
      <w:r>
        <w:t>, rather than a single fixed value.</w:t>
      </w:r>
    </w:p>
    <w:p w14:paraId="0B441A49" w14:textId="0FABEA32" w:rsidR="00F93097" w:rsidRDefault="00F93097" w:rsidP="00F93097">
      <w:pPr>
        <w:pStyle w:val="BodyTextGrey"/>
        <w:rPr>
          <w:highlight w:val="green"/>
        </w:rPr>
      </w:pPr>
      <w:r w:rsidRPr="000613F0">
        <w:t>For a</w:t>
      </w:r>
      <w:r>
        <w:t>ny</w:t>
      </w:r>
      <w:r w:rsidRPr="000613F0">
        <w:t xml:space="preserve"> projection, </w:t>
      </w:r>
      <w:r>
        <w:t xml:space="preserve">the Fund actuary can </w:t>
      </w:r>
      <w:r w:rsidRPr="000613F0">
        <w:t xml:space="preserve">assess </w:t>
      </w:r>
      <w:r>
        <w:t>if</w:t>
      </w:r>
      <w:r w:rsidRPr="000613F0">
        <w:t xml:space="preserve"> the funding target is satisfied at the end of the time</w:t>
      </w:r>
      <w:r w:rsidR="007A3DEF">
        <w:t xml:space="preserve"> </w:t>
      </w:r>
      <w:r w:rsidRPr="000613F0">
        <w:t>horizon.</w:t>
      </w:r>
    </w:p>
    <w:p w14:paraId="29347A36" w14:textId="175107A6" w:rsidR="00F6080A" w:rsidRPr="00F6080A" w:rsidRDefault="00F93097" w:rsidP="00DB668C">
      <w:pPr>
        <w:pStyle w:val="Heading4"/>
      </w:pPr>
      <w:r w:rsidRPr="00FB6BDD">
        <w:t>Table: Summary of assumptions underlying the ESS, 31 March 2023</w:t>
      </w:r>
    </w:p>
    <w:p w14:paraId="7F13493D" w14:textId="375F49CA" w:rsidR="00E06DC8" w:rsidRDefault="00F6080A" w:rsidP="00F93097">
      <w:pPr>
        <w:pStyle w:val="BodyTextGrey"/>
      </w:pPr>
      <w:r>
        <w:rPr>
          <w:noProof/>
        </w:rPr>
        <w:drawing>
          <wp:inline distT="0" distB="0" distL="0" distR="0" wp14:anchorId="1B4F8A04" wp14:editId="7B84F95C">
            <wp:extent cx="6480810" cy="1847215"/>
            <wp:effectExtent l="0" t="0" r="0" b="635"/>
            <wp:docPr id="2019840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810" cy="1847215"/>
                    </a:xfrm>
                    <a:prstGeom prst="rect">
                      <a:avLst/>
                    </a:prstGeom>
                    <a:noFill/>
                  </pic:spPr>
                </pic:pic>
              </a:graphicData>
            </a:graphic>
          </wp:inline>
        </w:drawing>
      </w:r>
    </w:p>
    <w:p w14:paraId="01508720" w14:textId="0DB44C18" w:rsidR="00F93097" w:rsidRDefault="00F93097" w:rsidP="00F93097">
      <w:pPr>
        <w:pStyle w:val="BodyTextGrey"/>
      </w:pPr>
      <w:bookmarkStart w:id="96" w:name="_Toc86162884"/>
      <w:r w:rsidRPr="00D82AE0">
        <w:t xml:space="preserve">ESS assumptions are calibrated </w:t>
      </w:r>
      <w:r w:rsidR="003B7DB7" w:rsidRPr="00D82AE0">
        <w:t xml:space="preserve">against current market conditions </w:t>
      </w:r>
      <w:proofErr w:type="gramStart"/>
      <w:r w:rsidR="003B7DB7" w:rsidRPr="00D82AE0">
        <w:t xml:space="preserve">at </w:t>
      </w:r>
      <w:r w:rsidRPr="00D82AE0">
        <w:t xml:space="preserve"> each</w:t>
      </w:r>
      <w:proofErr w:type="gramEnd"/>
      <w:r w:rsidRPr="00D82AE0">
        <w:t xml:space="preserve"> month end. Contribution rate assessments carried out after 31 March 2023 (for new employers joining the Fund) will use the most up to date calibration of the ESS.</w:t>
      </w:r>
    </w:p>
    <w:p w14:paraId="7C92B9DA" w14:textId="503FB911" w:rsidR="00F93097" w:rsidRPr="00F93097" w:rsidRDefault="00F93097" w:rsidP="00DB668C">
      <w:pPr>
        <w:pStyle w:val="Appendix2"/>
      </w:pPr>
      <w:r>
        <w:t xml:space="preserve">D3 </w:t>
      </w:r>
      <w:r w:rsidR="00DB668C">
        <w:tab/>
      </w:r>
      <w:r>
        <w:t xml:space="preserve">What financial assumptions were used? </w:t>
      </w:r>
      <w:bookmarkEnd w:id="96"/>
    </w:p>
    <w:p w14:paraId="3D72E165" w14:textId="77777777" w:rsidR="00F93097" w:rsidRPr="00DB668C" w:rsidRDefault="00F93097" w:rsidP="00DB668C">
      <w:pPr>
        <w:pStyle w:val="Heading4"/>
      </w:pPr>
      <w:bookmarkStart w:id="97" w:name="_Toc86162885"/>
      <w:r w:rsidRPr="00DB668C">
        <w:t>Future investment return</w:t>
      </w:r>
      <w:bookmarkEnd w:id="97"/>
      <w:r w:rsidRPr="00DB668C">
        <w:t>s and discount rate</w:t>
      </w:r>
    </w:p>
    <w:p w14:paraId="7B3DBFC9" w14:textId="77777777" w:rsidR="00F93097" w:rsidRPr="00B9656B" w:rsidRDefault="00F93097" w:rsidP="00F93097">
      <w:pPr>
        <w:pStyle w:val="BodyTextGrey"/>
      </w:pPr>
      <w:r w:rsidRPr="00B9656B">
        <w:t xml:space="preserve">The </w:t>
      </w:r>
      <w:r>
        <w:t>Fund</w:t>
      </w:r>
      <w:r w:rsidRPr="00B9656B">
        <w:t xml:space="preserve"> uses a risk-based approach to generate assumptions about future investment returns over the funding time horizon, based on the investment strategy. </w:t>
      </w:r>
    </w:p>
    <w:p w14:paraId="19863E24" w14:textId="77777777" w:rsidR="00F93097" w:rsidRDefault="00F93097" w:rsidP="00F93097">
      <w:pPr>
        <w:pStyle w:val="BodyTextGrey"/>
        <w:rPr>
          <w:b/>
          <w:color w:val="70AD47" w:themeColor="accent6"/>
        </w:rPr>
      </w:pPr>
    </w:p>
    <w:p w14:paraId="4E0AA97E" w14:textId="77777777" w:rsidR="00F93097" w:rsidRPr="00F93097" w:rsidRDefault="00F93097" w:rsidP="00F93097">
      <w:pPr>
        <w:pStyle w:val="BodyTextGrey"/>
        <w:rPr>
          <w:b/>
          <w:color w:val="000000" w:themeColor="text1"/>
        </w:rPr>
      </w:pPr>
      <w:r w:rsidRPr="00F93097">
        <w:rPr>
          <w:b/>
          <w:color w:val="000000" w:themeColor="text1"/>
        </w:rPr>
        <w:t xml:space="preserve">Discount rate (for funding level calculation as </w:t>
      </w:r>
      <w:proofErr w:type="gramStart"/>
      <w:r w:rsidRPr="00F93097">
        <w:rPr>
          <w:b/>
          <w:color w:val="000000" w:themeColor="text1"/>
        </w:rPr>
        <w:t>at</w:t>
      </w:r>
      <w:proofErr w:type="gramEnd"/>
      <w:r w:rsidRPr="00F93097">
        <w:rPr>
          <w:b/>
          <w:color w:val="000000" w:themeColor="text1"/>
        </w:rPr>
        <w:t xml:space="preserve"> 31 March 2023 only)</w:t>
      </w:r>
    </w:p>
    <w:p w14:paraId="0A152C61" w14:textId="77777777" w:rsidR="00F93097" w:rsidRDefault="00F93097" w:rsidP="00F93097">
      <w:pPr>
        <w:pStyle w:val="BodyTextGrey"/>
      </w:pPr>
      <w:proofErr w:type="gramStart"/>
      <w:r>
        <w:t>For the purpose of</w:t>
      </w:r>
      <w:proofErr w:type="gramEnd"/>
      <w:r>
        <w:t xml:space="preserve"> calculating a funding level at the 2023 valuation, a </w:t>
      </w:r>
      <w:r w:rsidRPr="00172BFF">
        <w:t xml:space="preserve">discount rate of </w:t>
      </w:r>
      <w:r w:rsidRPr="00873F35">
        <w:t>5.5%</w:t>
      </w:r>
      <w:r w:rsidRPr="00172BFF">
        <w:t xml:space="preserve"> applies.  This is based on a prudent estimate of investment returns, specifically, that there is an </w:t>
      </w:r>
      <w:r w:rsidRPr="00873F35">
        <w:t>70%</w:t>
      </w:r>
      <w:r w:rsidRPr="00172BFF">
        <w:t xml:space="preserve"> likelihood that the Fund’s assets will achieve future investment returns of </w:t>
      </w:r>
      <w:r w:rsidRPr="00873F35">
        <w:t>5.5%</w:t>
      </w:r>
      <w:r>
        <w:t xml:space="preserve"> pa</w:t>
      </w:r>
      <w:r w:rsidRPr="00172BFF">
        <w:t xml:space="preserve"> over the 18 years following</w:t>
      </w:r>
      <w:r>
        <w:t xml:space="preserve"> the 2023 valuation date. </w:t>
      </w:r>
    </w:p>
    <w:p w14:paraId="69544467" w14:textId="77777777" w:rsidR="00F93097" w:rsidRPr="00B9656B" w:rsidRDefault="00F93097" w:rsidP="00F93097">
      <w:pPr>
        <w:pStyle w:val="Appendix3"/>
      </w:pPr>
      <w:bookmarkStart w:id="98" w:name="_Toc86162887"/>
      <w:r w:rsidRPr="00B9656B">
        <w:t>Pension increases and CARE revaluation</w:t>
      </w:r>
      <w:bookmarkEnd w:id="98"/>
    </w:p>
    <w:p w14:paraId="60D101FA" w14:textId="77777777" w:rsidR="00F93097" w:rsidRPr="00B9656B" w:rsidRDefault="00F93097" w:rsidP="00F93097">
      <w:pPr>
        <w:pStyle w:val="BodyTextGrey"/>
      </w:pPr>
      <w:r>
        <w:t>I</w:t>
      </w:r>
      <w:r w:rsidRPr="00B9656B">
        <w:t>ncreases to pensions</w:t>
      </w:r>
      <w:r>
        <w:t xml:space="preserve"> in payment, deferred benefits</w:t>
      </w:r>
      <w:r w:rsidRPr="00B9656B">
        <w:t xml:space="preserve"> and revaluation of CARE benefits are in line with the Consumer Price Index (CPI) and determined by the </w:t>
      </w:r>
      <w:r>
        <w:t xml:space="preserve">relevant </w:t>
      </w:r>
      <w:r w:rsidRPr="00B9656B">
        <w:t xml:space="preserve">regulations. </w:t>
      </w:r>
    </w:p>
    <w:p w14:paraId="4D45B680" w14:textId="77777777" w:rsidR="00F93097" w:rsidRDefault="00F93097" w:rsidP="00F93097">
      <w:pPr>
        <w:pStyle w:val="BodyTextGrey"/>
      </w:pPr>
      <w:r w:rsidRPr="00B9656B">
        <w:t>The CPI assumption is based on Hymans Robertson’s ESS model.</w:t>
      </w:r>
    </w:p>
    <w:p w14:paraId="06772ECF" w14:textId="77777777" w:rsidR="00F93097" w:rsidRPr="00B9656B" w:rsidRDefault="00F93097" w:rsidP="00F93097">
      <w:pPr>
        <w:pStyle w:val="BodyTextGrey"/>
      </w:pPr>
      <w:r>
        <w:t xml:space="preserve">For funding level calculations, the CPI assumption is based on the median value from the ESS model over a time horizon consistent with that used to derive the discount rate. </w:t>
      </w:r>
      <w:r w:rsidRPr="00B9656B">
        <w:t>The median value of CPI inflation from the ESS was 2.</w:t>
      </w:r>
      <w:r>
        <w:t>3</w:t>
      </w:r>
      <w:r w:rsidRPr="00B9656B">
        <w:t>% pa on 31 March 202</w:t>
      </w:r>
      <w:r>
        <w:t>3</w:t>
      </w:r>
      <w:r w:rsidRPr="00B9656B">
        <w:t>.</w:t>
      </w:r>
    </w:p>
    <w:p w14:paraId="254B7AAA" w14:textId="77777777" w:rsidR="00F93097" w:rsidRPr="00B9656B" w:rsidRDefault="00F93097" w:rsidP="00F93097">
      <w:pPr>
        <w:pStyle w:val="Appendix3"/>
      </w:pPr>
      <w:bookmarkStart w:id="99" w:name="_Toc86162888"/>
      <w:r w:rsidRPr="00B9656B">
        <w:t>Salary growth</w:t>
      </w:r>
    </w:p>
    <w:p w14:paraId="5BAD9FD3" w14:textId="77777777" w:rsidR="00F93097" w:rsidRDefault="00F93097" w:rsidP="00F93097">
      <w:pPr>
        <w:pStyle w:val="BodyTextGrey"/>
      </w:pPr>
      <w:r w:rsidRPr="00B9656B">
        <w:t xml:space="preserve">The salary increase assumption at the latest valuation has been set to </w:t>
      </w:r>
      <w:r>
        <w:t>0.5</w:t>
      </w:r>
      <w:r w:rsidRPr="00B9656B">
        <w:t>% above CPI pa plus a promotional salary scale.</w:t>
      </w:r>
    </w:p>
    <w:p w14:paraId="2ED95A37" w14:textId="00BE1084" w:rsidR="00F93097" w:rsidRDefault="00F93097" w:rsidP="00DB668C">
      <w:pPr>
        <w:pStyle w:val="Appendix2"/>
      </w:pPr>
      <w:r>
        <w:t xml:space="preserve">D4 </w:t>
      </w:r>
      <w:r w:rsidR="00DB668C">
        <w:tab/>
      </w:r>
      <w:r>
        <w:t>What demographic assumptions</w:t>
      </w:r>
      <w:bookmarkEnd w:id="99"/>
      <w:r>
        <w:t xml:space="preserve"> were used? </w:t>
      </w:r>
    </w:p>
    <w:p w14:paraId="6366AD6B" w14:textId="77777777" w:rsidR="00F93097" w:rsidRDefault="00F93097" w:rsidP="00F93097">
      <w:pPr>
        <w:pStyle w:val="BodyTextGrey"/>
      </w:pPr>
      <w:r w:rsidRPr="000613F0">
        <w:t>Demographic assumptions are best estimates of future experience</w:t>
      </w:r>
      <w:r>
        <w:t xml:space="preserve">. The Fund uses advice from Club Vita to set demographic assumptions, as well as analysis and judgement based on the Fund’s experience. </w:t>
      </w:r>
      <w:r w:rsidRPr="000613F0">
        <w:t xml:space="preserve"> </w:t>
      </w:r>
    </w:p>
    <w:p w14:paraId="7517DFF9" w14:textId="77777777" w:rsidR="00F93097" w:rsidRPr="000613F0" w:rsidRDefault="00F93097" w:rsidP="00F93097">
      <w:pPr>
        <w:pStyle w:val="BodyTextGrey"/>
      </w:pPr>
      <w:r>
        <w:t xml:space="preserve">Demographic assumptions vary by type of member, so each employer’s own membership profile is reflected in their results. </w:t>
      </w:r>
    </w:p>
    <w:p w14:paraId="2FF84832" w14:textId="77777777" w:rsidR="00F93097" w:rsidRDefault="00F93097" w:rsidP="00F93097">
      <w:pPr>
        <w:pStyle w:val="Appendix3"/>
      </w:pPr>
      <w:bookmarkStart w:id="100" w:name="_Toc86162889"/>
      <w:r>
        <w:t>Life expectancy</w:t>
      </w:r>
      <w:bookmarkEnd w:id="100"/>
      <w:r>
        <w:t xml:space="preserve"> </w:t>
      </w:r>
    </w:p>
    <w:p w14:paraId="62F68000" w14:textId="77777777" w:rsidR="00F93097" w:rsidRDefault="00F93097" w:rsidP="00F93097">
      <w:pPr>
        <w:pStyle w:val="BodyTextGrey"/>
      </w:pPr>
      <w:r w:rsidRPr="000613F0">
        <w:t xml:space="preserve">The longevity assumptions </w:t>
      </w:r>
      <w:r w:rsidRPr="009C4D67">
        <w:t xml:space="preserve">are a bespoke set of </w:t>
      </w:r>
      <w:proofErr w:type="spellStart"/>
      <w:r w:rsidRPr="009C4D67">
        <w:t>VitaCurves</w:t>
      </w:r>
      <w:proofErr w:type="spellEnd"/>
      <w:r w:rsidRPr="009C4D67">
        <w:t xml:space="preserve"> produced</w:t>
      </w:r>
      <w:r w:rsidRPr="000613F0">
        <w:t xml:space="preserve"> by detailed analysis</w:t>
      </w:r>
      <w:r>
        <w:t xml:space="preserve"> </w:t>
      </w:r>
      <w:r w:rsidRPr="000613F0">
        <w:t xml:space="preserve">and tailored to fit the </w:t>
      </w:r>
      <w:r>
        <w:t>Fund</w:t>
      </w:r>
      <w:r w:rsidRPr="000613F0">
        <w:t>’s membership profile</w:t>
      </w:r>
      <w:r>
        <w:t xml:space="preserve">. </w:t>
      </w:r>
      <w:r w:rsidRPr="000613F0">
        <w:t xml:space="preserve"> </w:t>
      </w:r>
      <w:r>
        <w:t xml:space="preserve"> </w:t>
      </w:r>
    </w:p>
    <w:p w14:paraId="25997809" w14:textId="77777777" w:rsidR="00F93097" w:rsidRPr="00164790" w:rsidRDefault="00F93097" w:rsidP="00F93097">
      <w:pPr>
        <w:pStyle w:val="BodyTextGrey"/>
      </w:pPr>
      <w:r w:rsidRPr="00164790">
        <w:t xml:space="preserve">Allowance has been made for future improvements to mortality, in line with the 2022 version of the continuous mortality investigation (CMI) published by the actuarial profession. The starting point </w:t>
      </w:r>
      <w:r>
        <w:t xml:space="preserve">(A parameter) </w:t>
      </w:r>
      <w:r w:rsidRPr="00164790">
        <w:t xml:space="preserve">has been adjusted by +0.25% to reflect the difference between the population-wide data used in the CMI and LGPS membership. A long-term rate of mortality improvements of 1.5% pa applies. The smoothing parameter used in the CMI model is 7.0. </w:t>
      </w:r>
    </w:p>
    <w:p w14:paraId="0B9ECAAA" w14:textId="77777777" w:rsidR="00F93097" w:rsidRDefault="00F93097" w:rsidP="00F93097">
      <w:pPr>
        <w:pStyle w:val="BodyTextGrey"/>
      </w:pPr>
      <w:r w:rsidRPr="006364E3">
        <w:t>A weighting of 0% has been applied to 2020 and 2021 data within the model</w:t>
      </w:r>
      <w:r>
        <w:t xml:space="preserve"> to avoid overstating the impact of the covid-19 pandemic on future life expectancy.  </w:t>
      </w:r>
      <w:proofErr w:type="gramStart"/>
      <w:r>
        <w:t>However</w:t>
      </w:r>
      <w:proofErr w:type="gramEnd"/>
      <w:r w:rsidRPr="006364E3">
        <w:t xml:space="preserve"> a weighting</w:t>
      </w:r>
      <w:r>
        <w:t xml:space="preserve"> of 25% has been applied</w:t>
      </w:r>
      <w:r w:rsidRPr="006364E3">
        <w:t xml:space="preserve"> for 2022 data</w:t>
      </w:r>
      <w:r>
        <w:t xml:space="preserve"> reflecting emerging data on the </w:t>
      </w:r>
      <w:proofErr w:type="gramStart"/>
      <w:r>
        <w:t>longer term</w:t>
      </w:r>
      <w:proofErr w:type="gramEnd"/>
      <w:r>
        <w:t xml:space="preserve"> impact of the pandemic and a wider </w:t>
      </w:r>
      <w:proofErr w:type="spellStart"/>
      <w:r>
        <w:t>slow down</w:t>
      </w:r>
      <w:proofErr w:type="spellEnd"/>
      <w:r>
        <w:t xml:space="preserve"> in life expectancy improvements.</w:t>
      </w:r>
    </w:p>
    <w:p w14:paraId="65D1839E" w14:textId="77777777" w:rsidR="00F93097" w:rsidRPr="00B9656B" w:rsidRDefault="00F93097" w:rsidP="007A3DEF">
      <w:pPr>
        <w:pStyle w:val="Heading4"/>
      </w:pPr>
      <w:r>
        <w:t>Other demographic assumptions</w:t>
      </w:r>
    </w:p>
    <w:tbl>
      <w:tblPr>
        <w:tblStyle w:val="TableGrid"/>
        <w:tblW w:w="9923" w:type="dxa"/>
        <w:tblInd w:w="-5" w:type="dxa"/>
        <w:tblBorders>
          <w:top w:val="none" w:sz="0" w:space="0" w:color="auto"/>
          <w:left w:val="none" w:sz="0" w:space="0" w:color="auto"/>
          <w:bottom w:val="none" w:sz="0" w:space="0" w:color="auto"/>
          <w:right w:val="none" w:sz="0" w:space="0" w:color="auto"/>
          <w:insideH w:val="single" w:sz="4" w:space="0" w:color="5B9BD5" w:themeColor="accent5"/>
          <w:insideV w:val="none" w:sz="0" w:space="0" w:color="auto"/>
        </w:tblBorders>
        <w:tblLook w:val="04A0" w:firstRow="1" w:lastRow="0" w:firstColumn="1" w:lastColumn="0" w:noHBand="0" w:noVBand="1"/>
      </w:tblPr>
      <w:tblGrid>
        <w:gridCol w:w="3119"/>
        <w:gridCol w:w="6804"/>
      </w:tblGrid>
      <w:tr w:rsidR="00F93097" w:rsidRPr="00D63229" w14:paraId="466B1D0E" w14:textId="77777777" w:rsidTr="00DB668C">
        <w:tc>
          <w:tcPr>
            <w:tcW w:w="3119" w:type="dxa"/>
            <w:tcBorders>
              <w:top w:val="single" w:sz="4" w:space="0" w:color="auto"/>
              <w:left w:val="single" w:sz="4" w:space="0" w:color="auto"/>
              <w:bottom w:val="single" w:sz="4" w:space="0" w:color="auto"/>
              <w:right w:val="single" w:sz="4" w:space="0" w:color="auto"/>
            </w:tcBorders>
          </w:tcPr>
          <w:p w14:paraId="6A6B5857" w14:textId="77777777" w:rsidR="00F93097" w:rsidRPr="00613FBF" w:rsidRDefault="00F93097">
            <w:pPr>
              <w:pStyle w:val="BodyTextGrey"/>
              <w:spacing w:beforeLines="20" w:before="48" w:afterLines="20" w:after="48" w:line="220" w:lineRule="atLeast"/>
            </w:pPr>
            <w:r w:rsidRPr="00613FBF">
              <w:t>Retirement in normal health</w:t>
            </w:r>
          </w:p>
        </w:tc>
        <w:tc>
          <w:tcPr>
            <w:tcW w:w="6804" w:type="dxa"/>
            <w:tcBorders>
              <w:top w:val="single" w:sz="4" w:space="0" w:color="auto"/>
              <w:left w:val="single" w:sz="4" w:space="0" w:color="auto"/>
              <w:bottom w:val="single" w:sz="4" w:space="0" w:color="auto"/>
              <w:right w:val="single" w:sz="4" w:space="0" w:color="auto"/>
            </w:tcBorders>
          </w:tcPr>
          <w:p w14:paraId="3328FC7D" w14:textId="77777777" w:rsidR="00F93097" w:rsidRPr="00613FBF" w:rsidRDefault="00F93097">
            <w:pPr>
              <w:pStyle w:val="BodyTextGrey"/>
              <w:spacing w:beforeLines="20" w:before="48" w:afterLines="20" w:after="48" w:line="220" w:lineRule="atLeast"/>
            </w:pPr>
            <w:r>
              <w:t xml:space="preserve">Members are assumed to retire at the earliest age possible with no pension reduction. </w:t>
            </w:r>
          </w:p>
        </w:tc>
      </w:tr>
      <w:tr w:rsidR="00F93097" w:rsidRPr="00D63229" w14:paraId="174D567F" w14:textId="77777777" w:rsidTr="00DB668C">
        <w:tc>
          <w:tcPr>
            <w:tcW w:w="3119" w:type="dxa"/>
            <w:tcBorders>
              <w:top w:val="single" w:sz="4" w:space="0" w:color="auto"/>
              <w:left w:val="single" w:sz="4" w:space="0" w:color="auto"/>
              <w:bottom w:val="single" w:sz="4" w:space="0" w:color="auto"/>
              <w:right w:val="single" w:sz="4" w:space="0" w:color="auto"/>
            </w:tcBorders>
          </w:tcPr>
          <w:p w14:paraId="16466D2B" w14:textId="77777777" w:rsidR="00F93097" w:rsidRPr="00613FBF" w:rsidRDefault="00F93097">
            <w:pPr>
              <w:pStyle w:val="BodyTextGrey"/>
              <w:spacing w:beforeLines="20" w:before="48" w:afterLines="20" w:after="48" w:line="220" w:lineRule="atLeast"/>
            </w:pPr>
            <w:r w:rsidRPr="00613FBF">
              <w:t>Promotional salary increases</w:t>
            </w:r>
          </w:p>
        </w:tc>
        <w:tc>
          <w:tcPr>
            <w:tcW w:w="6804" w:type="dxa"/>
            <w:tcBorders>
              <w:top w:val="single" w:sz="4" w:space="0" w:color="auto"/>
              <w:left w:val="single" w:sz="4" w:space="0" w:color="auto"/>
              <w:bottom w:val="single" w:sz="4" w:space="0" w:color="auto"/>
              <w:right w:val="single" w:sz="4" w:space="0" w:color="auto"/>
            </w:tcBorders>
          </w:tcPr>
          <w:p w14:paraId="26D6BE40" w14:textId="77777777" w:rsidR="00F93097" w:rsidRPr="00613FBF" w:rsidDel="001603D8" w:rsidRDefault="00F93097">
            <w:pPr>
              <w:pStyle w:val="BodyTextGrey"/>
              <w:spacing w:beforeLines="20" w:before="48" w:afterLines="20" w:after="48" w:line="220" w:lineRule="atLeast"/>
            </w:pPr>
            <w:r w:rsidRPr="00613FBF">
              <w:t>Sample increases below</w:t>
            </w:r>
          </w:p>
        </w:tc>
      </w:tr>
      <w:tr w:rsidR="00F93097" w:rsidRPr="00D63229" w14:paraId="71033ED8" w14:textId="77777777" w:rsidTr="00DB668C">
        <w:tc>
          <w:tcPr>
            <w:tcW w:w="3119" w:type="dxa"/>
            <w:tcBorders>
              <w:top w:val="single" w:sz="4" w:space="0" w:color="auto"/>
              <w:left w:val="single" w:sz="4" w:space="0" w:color="auto"/>
              <w:bottom w:val="single" w:sz="4" w:space="0" w:color="auto"/>
              <w:right w:val="single" w:sz="4" w:space="0" w:color="auto"/>
            </w:tcBorders>
          </w:tcPr>
          <w:p w14:paraId="0CFC174A" w14:textId="77777777" w:rsidR="00F93097" w:rsidRPr="00613FBF" w:rsidRDefault="00F93097">
            <w:pPr>
              <w:pStyle w:val="BodyTextGrey"/>
              <w:spacing w:beforeLines="20" w:before="48" w:afterLines="20" w:after="48" w:line="220" w:lineRule="atLeast"/>
            </w:pPr>
            <w:r w:rsidRPr="00613FBF">
              <w:t>Death in service</w:t>
            </w:r>
          </w:p>
        </w:tc>
        <w:tc>
          <w:tcPr>
            <w:tcW w:w="6804" w:type="dxa"/>
            <w:tcBorders>
              <w:top w:val="single" w:sz="4" w:space="0" w:color="auto"/>
              <w:left w:val="single" w:sz="4" w:space="0" w:color="auto"/>
              <w:bottom w:val="single" w:sz="4" w:space="0" w:color="auto"/>
              <w:right w:val="single" w:sz="4" w:space="0" w:color="auto"/>
            </w:tcBorders>
          </w:tcPr>
          <w:p w14:paraId="3E161A7F" w14:textId="77777777" w:rsidR="00F93097" w:rsidRPr="00613FBF" w:rsidRDefault="00F93097">
            <w:pPr>
              <w:pStyle w:val="BodyTextGrey"/>
              <w:spacing w:beforeLines="20" w:before="48" w:afterLines="20" w:after="48" w:line="220" w:lineRule="atLeast"/>
            </w:pPr>
            <w:r>
              <w:t>S</w:t>
            </w:r>
            <w:r w:rsidRPr="00613FBF">
              <w:t>ample rates below</w:t>
            </w:r>
          </w:p>
        </w:tc>
      </w:tr>
      <w:tr w:rsidR="00F93097" w:rsidRPr="00D63229" w14:paraId="71D6D64D" w14:textId="77777777" w:rsidTr="00DB668C">
        <w:tc>
          <w:tcPr>
            <w:tcW w:w="3119" w:type="dxa"/>
            <w:tcBorders>
              <w:top w:val="single" w:sz="4" w:space="0" w:color="auto"/>
              <w:left w:val="single" w:sz="4" w:space="0" w:color="auto"/>
              <w:bottom w:val="single" w:sz="4" w:space="0" w:color="auto"/>
              <w:right w:val="single" w:sz="4" w:space="0" w:color="auto"/>
            </w:tcBorders>
          </w:tcPr>
          <w:p w14:paraId="248ED3F7" w14:textId="77777777" w:rsidR="00F93097" w:rsidRPr="00613FBF" w:rsidRDefault="00F93097">
            <w:pPr>
              <w:pStyle w:val="BodyTextGrey"/>
              <w:spacing w:beforeLines="20" w:before="48" w:afterLines="20" w:after="48" w:line="220" w:lineRule="atLeast"/>
            </w:pPr>
            <w:r w:rsidRPr="00613FBF">
              <w:t>Withdrawals</w:t>
            </w:r>
          </w:p>
        </w:tc>
        <w:tc>
          <w:tcPr>
            <w:tcW w:w="6804" w:type="dxa"/>
            <w:tcBorders>
              <w:top w:val="single" w:sz="4" w:space="0" w:color="auto"/>
              <w:left w:val="single" w:sz="4" w:space="0" w:color="auto"/>
              <w:bottom w:val="single" w:sz="4" w:space="0" w:color="auto"/>
              <w:right w:val="single" w:sz="4" w:space="0" w:color="auto"/>
            </w:tcBorders>
          </w:tcPr>
          <w:p w14:paraId="16666900" w14:textId="77777777" w:rsidR="00F93097" w:rsidRPr="00613FBF" w:rsidRDefault="00F93097">
            <w:pPr>
              <w:pStyle w:val="BodyTextGrey"/>
              <w:spacing w:beforeLines="20" w:before="48" w:afterLines="20" w:after="48" w:line="220" w:lineRule="atLeast"/>
            </w:pPr>
            <w:r w:rsidRPr="00613FBF">
              <w:t>Sample rates below</w:t>
            </w:r>
          </w:p>
        </w:tc>
      </w:tr>
      <w:tr w:rsidR="00F93097" w:rsidRPr="00D63229" w14:paraId="2D6A8FFA" w14:textId="77777777" w:rsidTr="00DB668C">
        <w:tc>
          <w:tcPr>
            <w:tcW w:w="3119" w:type="dxa"/>
            <w:tcBorders>
              <w:top w:val="single" w:sz="4" w:space="0" w:color="auto"/>
              <w:left w:val="single" w:sz="4" w:space="0" w:color="auto"/>
              <w:bottom w:val="single" w:sz="4" w:space="0" w:color="auto"/>
              <w:right w:val="single" w:sz="4" w:space="0" w:color="auto"/>
            </w:tcBorders>
          </w:tcPr>
          <w:p w14:paraId="59E835BE" w14:textId="77777777" w:rsidR="00F93097" w:rsidRPr="00613FBF" w:rsidRDefault="00F93097">
            <w:pPr>
              <w:pStyle w:val="BodyTextGrey"/>
              <w:spacing w:beforeLines="20" w:before="48" w:afterLines="20" w:after="48" w:line="220" w:lineRule="atLeast"/>
            </w:pPr>
            <w:r w:rsidRPr="00613FBF">
              <w:t>Retirement in ill health</w:t>
            </w:r>
          </w:p>
        </w:tc>
        <w:tc>
          <w:tcPr>
            <w:tcW w:w="6804" w:type="dxa"/>
            <w:tcBorders>
              <w:top w:val="single" w:sz="4" w:space="0" w:color="auto"/>
              <w:left w:val="single" w:sz="4" w:space="0" w:color="auto"/>
              <w:bottom w:val="single" w:sz="4" w:space="0" w:color="auto"/>
              <w:right w:val="single" w:sz="4" w:space="0" w:color="auto"/>
            </w:tcBorders>
          </w:tcPr>
          <w:p w14:paraId="3C6297E9" w14:textId="77777777" w:rsidR="00F93097" w:rsidRPr="00613FBF" w:rsidRDefault="00F93097">
            <w:pPr>
              <w:pStyle w:val="BodyTextGrey"/>
              <w:tabs>
                <w:tab w:val="left" w:pos="688"/>
              </w:tabs>
              <w:spacing w:beforeLines="20" w:before="48" w:afterLines="20" w:after="48" w:line="220" w:lineRule="atLeast"/>
            </w:pPr>
            <w:r>
              <w:t>S</w:t>
            </w:r>
            <w:r w:rsidRPr="00613FBF">
              <w:t>ample rates below</w:t>
            </w:r>
          </w:p>
        </w:tc>
      </w:tr>
      <w:tr w:rsidR="00F93097" w:rsidRPr="00D63229" w14:paraId="1E5A5F34" w14:textId="77777777" w:rsidTr="00DB668C">
        <w:tc>
          <w:tcPr>
            <w:tcW w:w="3119" w:type="dxa"/>
            <w:tcBorders>
              <w:top w:val="single" w:sz="4" w:space="0" w:color="auto"/>
              <w:left w:val="single" w:sz="4" w:space="0" w:color="auto"/>
              <w:bottom w:val="single" w:sz="4" w:space="0" w:color="auto"/>
              <w:right w:val="single" w:sz="4" w:space="0" w:color="auto"/>
            </w:tcBorders>
          </w:tcPr>
          <w:p w14:paraId="6C22247D" w14:textId="77777777" w:rsidR="00F93097" w:rsidRPr="00613FBF" w:rsidRDefault="00F93097">
            <w:pPr>
              <w:pStyle w:val="BodyTextGrey"/>
              <w:spacing w:beforeLines="20" w:before="48" w:afterLines="20" w:after="48" w:line="220" w:lineRule="atLeast"/>
            </w:pPr>
            <w:r w:rsidRPr="00613FBF">
              <w:t>Family details</w:t>
            </w:r>
          </w:p>
        </w:tc>
        <w:tc>
          <w:tcPr>
            <w:tcW w:w="6804" w:type="dxa"/>
            <w:tcBorders>
              <w:top w:val="single" w:sz="4" w:space="0" w:color="auto"/>
              <w:left w:val="single" w:sz="4" w:space="0" w:color="auto"/>
              <w:bottom w:val="single" w:sz="4" w:space="0" w:color="auto"/>
              <w:right w:val="single" w:sz="4" w:space="0" w:color="auto"/>
            </w:tcBorders>
          </w:tcPr>
          <w:p w14:paraId="74DEB1DD" w14:textId="77777777" w:rsidR="00F93097" w:rsidRPr="002A14AB" w:rsidRDefault="00F93097">
            <w:pPr>
              <w:pStyle w:val="BodyTextGrey"/>
              <w:spacing w:beforeLines="20" w:before="48" w:afterLines="20" w:after="48" w:line="220" w:lineRule="atLeast"/>
            </w:pPr>
            <w:r w:rsidRPr="002A14AB">
              <w:t xml:space="preserve">A varying proportion of members are assumed to have a dependant partner at retirement or on earlier death. For example, at age 60 this is assumed to be </w:t>
            </w:r>
            <w:r>
              <w:t>85</w:t>
            </w:r>
            <w:r w:rsidRPr="00873F35">
              <w:t>%</w:t>
            </w:r>
            <w:r w:rsidRPr="002A14AB">
              <w:t xml:space="preserve"> for males and </w:t>
            </w:r>
            <w:r>
              <w:t>60</w:t>
            </w:r>
            <w:r w:rsidRPr="00873F35">
              <w:t>%</w:t>
            </w:r>
            <w:r w:rsidRPr="002A14AB">
              <w:t xml:space="preserve"> for females. </w:t>
            </w:r>
            <w:r>
              <w:t>The dependant of a male member is assumed to be 2 years younger than him and the dependant of a female members is assumed to be 3.5 years older than her.</w:t>
            </w:r>
            <w:r w:rsidRPr="002A14AB">
              <w:t xml:space="preserve"> </w:t>
            </w:r>
          </w:p>
        </w:tc>
      </w:tr>
      <w:tr w:rsidR="00F93097" w:rsidRPr="00D63229" w14:paraId="575505AD" w14:textId="77777777" w:rsidTr="00DB668C">
        <w:tc>
          <w:tcPr>
            <w:tcW w:w="3119" w:type="dxa"/>
            <w:tcBorders>
              <w:top w:val="single" w:sz="4" w:space="0" w:color="auto"/>
              <w:left w:val="single" w:sz="4" w:space="0" w:color="auto"/>
              <w:bottom w:val="single" w:sz="4" w:space="0" w:color="auto"/>
              <w:right w:val="single" w:sz="4" w:space="0" w:color="auto"/>
            </w:tcBorders>
          </w:tcPr>
          <w:p w14:paraId="0C03015F" w14:textId="77777777" w:rsidR="00F93097" w:rsidRPr="00613FBF" w:rsidRDefault="00F93097">
            <w:pPr>
              <w:pStyle w:val="BodyTextGrey"/>
              <w:spacing w:beforeLines="20" w:before="48" w:afterLines="20" w:after="48" w:line="220" w:lineRule="atLeast"/>
            </w:pPr>
            <w:r w:rsidRPr="00613FBF">
              <w:t>Commutation</w:t>
            </w:r>
          </w:p>
        </w:tc>
        <w:tc>
          <w:tcPr>
            <w:tcW w:w="6804" w:type="dxa"/>
            <w:tcBorders>
              <w:top w:val="single" w:sz="4" w:space="0" w:color="auto"/>
              <w:left w:val="single" w:sz="4" w:space="0" w:color="auto"/>
              <w:bottom w:val="single" w:sz="4" w:space="0" w:color="auto"/>
              <w:right w:val="single" w:sz="4" w:space="0" w:color="auto"/>
            </w:tcBorders>
          </w:tcPr>
          <w:p w14:paraId="6A5844D1" w14:textId="77777777" w:rsidR="00F93097" w:rsidRPr="002A14AB" w:rsidRDefault="00F93097">
            <w:pPr>
              <w:pStyle w:val="BodyTextGrey"/>
              <w:spacing w:beforeLines="20" w:before="48" w:afterLines="20" w:after="48" w:line="220" w:lineRule="atLeast"/>
            </w:pPr>
            <w:r w:rsidRPr="00873F35">
              <w:t>70%</w:t>
            </w:r>
            <w:r w:rsidRPr="002A14AB">
              <w:t xml:space="preserve"> of maximum tax-free cash </w:t>
            </w:r>
          </w:p>
        </w:tc>
      </w:tr>
      <w:tr w:rsidR="00F93097" w:rsidRPr="00D63229" w14:paraId="7D094119" w14:textId="77777777" w:rsidTr="00DB668C">
        <w:tc>
          <w:tcPr>
            <w:tcW w:w="3119" w:type="dxa"/>
            <w:tcBorders>
              <w:top w:val="single" w:sz="4" w:space="0" w:color="auto"/>
              <w:left w:val="single" w:sz="4" w:space="0" w:color="auto"/>
              <w:bottom w:val="single" w:sz="4" w:space="0" w:color="auto"/>
              <w:right w:val="single" w:sz="4" w:space="0" w:color="auto"/>
            </w:tcBorders>
          </w:tcPr>
          <w:p w14:paraId="73C7B26F" w14:textId="77777777" w:rsidR="00F93097" w:rsidRPr="00613FBF" w:rsidRDefault="00F93097">
            <w:pPr>
              <w:pStyle w:val="BodyTextGrey"/>
              <w:spacing w:beforeLines="20" w:before="48" w:afterLines="20" w:after="48" w:line="220" w:lineRule="atLeast"/>
            </w:pPr>
            <w:r w:rsidRPr="00613FBF">
              <w:t>50:50 option</w:t>
            </w:r>
          </w:p>
        </w:tc>
        <w:tc>
          <w:tcPr>
            <w:tcW w:w="6804" w:type="dxa"/>
            <w:tcBorders>
              <w:top w:val="single" w:sz="4" w:space="0" w:color="auto"/>
              <w:left w:val="single" w:sz="4" w:space="0" w:color="auto"/>
              <w:bottom w:val="single" w:sz="4" w:space="0" w:color="auto"/>
              <w:right w:val="single" w:sz="4" w:space="0" w:color="auto"/>
            </w:tcBorders>
          </w:tcPr>
          <w:p w14:paraId="4F153E70" w14:textId="77777777" w:rsidR="00F93097" w:rsidRPr="002A14AB" w:rsidRDefault="00F93097">
            <w:pPr>
              <w:pStyle w:val="BodyTextGrey"/>
              <w:spacing w:beforeLines="20" w:before="48" w:afterLines="20" w:after="48" w:line="220" w:lineRule="atLeast"/>
            </w:pPr>
            <w:r w:rsidRPr="00873F35">
              <w:t>0.2%</w:t>
            </w:r>
            <w:r w:rsidRPr="002A14AB">
              <w:t xml:space="preserve"> of members will choose the 50:50 option.</w:t>
            </w:r>
          </w:p>
        </w:tc>
      </w:tr>
    </w:tbl>
    <w:p w14:paraId="3864E8ED" w14:textId="26B0042A" w:rsidR="00DB668C" w:rsidRPr="00DB668C" w:rsidRDefault="00F93097" w:rsidP="00DB668C">
      <w:pPr>
        <w:pStyle w:val="Appendix2"/>
        <w:rPr>
          <w:rStyle w:val="Heading4Char"/>
          <w:rFonts w:ascii="Arial" w:hAnsi="Arial" w:cs="Arial"/>
          <w:b/>
          <w:iCs/>
          <w:szCs w:val="22"/>
          <w:lang w:eastAsia="en-US"/>
        </w:rPr>
      </w:pPr>
      <w:bookmarkStart w:id="101" w:name="_Toc86162890"/>
      <w:r w:rsidRPr="00DB668C">
        <w:t>D3</w:t>
      </w:r>
      <w:r w:rsidR="00DB668C" w:rsidRPr="00DB668C">
        <w:tab/>
      </w:r>
      <w:r w:rsidRPr="00DB668C">
        <w:t>Rates for demographic assumptions</w:t>
      </w:r>
      <w:bookmarkStart w:id="102" w:name="_Toc86162891"/>
      <w:bookmarkEnd w:id="101"/>
    </w:p>
    <w:p w14:paraId="6EE1B628" w14:textId="0CBC8C74" w:rsidR="00F93097" w:rsidRPr="00DB668C" w:rsidRDefault="00F93097" w:rsidP="00DB668C">
      <w:pPr>
        <w:pStyle w:val="Heading4"/>
      </w:pPr>
      <w:r w:rsidRPr="00DB668C">
        <w:t>Males</w:t>
      </w:r>
      <w:bookmarkEnd w:id="102"/>
      <w:r w:rsidRPr="00DB668C">
        <w:t xml:space="preserve"> </w:t>
      </w:r>
    </w:p>
    <w:tbl>
      <w:tblPr>
        <w:tblW w:w="10055" w:type="dxa"/>
        <w:tblCellMar>
          <w:left w:w="0" w:type="dxa"/>
          <w:right w:w="0" w:type="dxa"/>
        </w:tblCellMar>
        <w:tblLook w:val="0420" w:firstRow="1" w:lastRow="0" w:firstColumn="0" w:lastColumn="0" w:noHBand="0" w:noVBand="1"/>
      </w:tblPr>
      <w:tblGrid>
        <w:gridCol w:w="946"/>
        <w:gridCol w:w="974"/>
        <w:gridCol w:w="1472"/>
        <w:gridCol w:w="1149"/>
        <w:gridCol w:w="1112"/>
        <w:gridCol w:w="1110"/>
        <w:gridCol w:w="1098"/>
        <w:gridCol w:w="1109"/>
        <w:gridCol w:w="1085"/>
      </w:tblGrid>
      <w:tr w:rsidR="00F93097" w:rsidRPr="00873F35" w14:paraId="3B1D7AE0" w14:textId="77777777">
        <w:trPr>
          <w:trHeight w:val="262"/>
        </w:trPr>
        <w:tc>
          <w:tcPr>
            <w:tcW w:w="10055" w:type="dxa"/>
            <w:gridSpan w:val="9"/>
            <w:tcBorders>
              <w:top w:val="nil"/>
              <w:left w:val="single" w:sz="8" w:space="0" w:color="D9D9D9"/>
              <w:right w:val="single" w:sz="8" w:space="0" w:color="D9D9D9"/>
            </w:tcBorders>
            <w:shd w:val="clear" w:color="auto" w:fill="5B9BD5" w:themeFill="accent5"/>
            <w:tcMar>
              <w:top w:w="58" w:type="dxa"/>
              <w:left w:w="116" w:type="dxa"/>
              <w:bottom w:w="58" w:type="dxa"/>
              <w:right w:w="116" w:type="dxa"/>
            </w:tcMar>
            <w:vAlign w:val="center"/>
          </w:tcPr>
          <w:p w14:paraId="6416007C" w14:textId="77777777" w:rsidR="00F93097" w:rsidRPr="00873F35" w:rsidRDefault="00F93097">
            <w:pPr>
              <w:pStyle w:val="BodyTextGrey"/>
              <w:spacing w:before="0" w:after="0"/>
              <w:jc w:val="center"/>
              <w:rPr>
                <w:b/>
                <w:bCs/>
                <w:sz w:val="18"/>
                <w:szCs w:val="18"/>
                <w:highlight w:val="yellow"/>
              </w:rPr>
            </w:pPr>
            <w:r w:rsidRPr="00873F35">
              <w:rPr>
                <w:b/>
                <w:bCs/>
                <w:color w:val="000000" w:themeColor="text1"/>
                <w:sz w:val="18"/>
                <w:szCs w:val="18"/>
              </w:rPr>
              <w:t>Incidence per 1000 active members per year (excluding salary scale)</w:t>
            </w:r>
          </w:p>
        </w:tc>
      </w:tr>
      <w:tr w:rsidR="00F93097" w:rsidRPr="00873F35" w14:paraId="05821DF8" w14:textId="77777777">
        <w:trPr>
          <w:trHeight w:val="262"/>
        </w:trPr>
        <w:tc>
          <w:tcPr>
            <w:tcW w:w="946" w:type="dxa"/>
            <w:tcBorders>
              <w:top w:val="nil"/>
              <w:left w:val="single" w:sz="8" w:space="0" w:color="D9D9D9"/>
            </w:tcBorders>
            <w:shd w:val="clear" w:color="auto" w:fill="9CC2E5" w:themeFill="accent5" w:themeFillTint="99"/>
            <w:tcMar>
              <w:top w:w="58" w:type="dxa"/>
              <w:left w:w="116" w:type="dxa"/>
              <w:bottom w:w="58" w:type="dxa"/>
              <w:right w:w="116" w:type="dxa"/>
            </w:tcMar>
            <w:vAlign w:val="center"/>
          </w:tcPr>
          <w:p w14:paraId="74FFB771" w14:textId="77777777" w:rsidR="00F93097" w:rsidRPr="00873F35" w:rsidRDefault="00F93097">
            <w:pPr>
              <w:pStyle w:val="BodyTextGrey"/>
              <w:spacing w:before="0" w:after="0"/>
              <w:jc w:val="center"/>
              <w:rPr>
                <w:b/>
                <w:color w:val="000000" w:themeColor="text1"/>
                <w:sz w:val="18"/>
                <w:szCs w:val="18"/>
              </w:rPr>
            </w:pPr>
            <w:r w:rsidRPr="00873F35">
              <w:rPr>
                <w:b/>
                <w:color w:val="000000" w:themeColor="text1"/>
                <w:sz w:val="18"/>
                <w:szCs w:val="18"/>
              </w:rPr>
              <w:t>Age</w:t>
            </w:r>
          </w:p>
        </w:tc>
        <w:tc>
          <w:tcPr>
            <w:tcW w:w="974" w:type="dxa"/>
            <w:tcBorders>
              <w:top w:val="nil"/>
            </w:tcBorders>
            <w:shd w:val="clear" w:color="auto" w:fill="9CC2E5" w:themeFill="accent5" w:themeFillTint="99"/>
            <w:tcMar>
              <w:top w:w="58" w:type="dxa"/>
              <w:left w:w="116" w:type="dxa"/>
              <w:bottom w:w="58" w:type="dxa"/>
              <w:right w:w="116" w:type="dxa"/>
            </w:tcMar>
            <w:vAlign w:val="center"/>
          </w:tcPr>
          <w:p w14:paraId="112D629D" w14:textId="77777777" w:rsidR="00F93097" w:rsidRPr="00873F35" w:rsidRDefault="00F93097">
            <w:pPr>
              <w:pStyle w:val="BodyTextGrey"/>
              <w:spacing w:before="0" w:after="0"/>
              <w:jc w:val="center"/>
              <w:rPr>
                <w:b/>
                <w:color w:val="000000" w:themeColor="text1"/>
                <w:sz w:val="18"/>
                <w:szCs w:val="18"/>
              </w:rPr>
            </w:pPr>
            <w:r w:rsidRPr="00873F35">
              <w:rPr>
                <w:b/>
                <w:color w:val="000000" w:themeColor="text1"/>
                <w:sz w:val="18"/>
                <w:szCs w:val="18"/>
              </w:rPr>
              <w:t>Salary scale</w:t>
            </w:r>
          </w:p>
        </w:tc>
        <w:tc>
          <w:tcPr>
            <w:tcW w:w="1472" w:type="dxa"/>
            <w:tcBorders>
              <w:top w:val="nil"/>
            </w:tcBorders>
            <w:shd w:val="clear" w:color="auto" w:fill="9CC2E5" w:themeFill="accent5" w:themeFillTint="99"/>
            <w:tcMar>
              <w:top w:w="58" w:type="dxa"/>
              <w:left w:w="116" w:type="dxa"/>
              <w:bottom w:w="58" w:type="dxa"/>
              <w:right w:w="116" w:type="dxa"/>
            </w:tcMar>
            <w:vAlign w:val="center"/>
          </w:tcPr>
          <w:p w14:paraId="152CDE8E" w14:textId="77777777" w:rsidR="00F93097" w:rsidRPr="00873F35" w:rsidRDefault="00F93097">
            <w:pPr>
              <w:pStyle w:val="BodyTextGrey"/>
              <w:spacing w:before="0" w:after="0"/>
              <w:jc w:val="center"/>
              <w:rPr>
                <w:b/>
                <w:bCs/>
                <w:color w:val="000000" w:themeColor="text1"/>
                <w:sz w:val="18"/>
                <w:szCs w:val="18"/>
              </w:rPr>
            </w:pPr>
            <w:r w:rsidRPr="00873F35">
              <w:rPr>
                <w:b/>
                <w:bCs/>
                <w:color w:val="000000" w:themeColor="text1"/>
                <w:sz w:val="18"/>
                <w:szCs w:val="18"/>
              </w:rPr>
              <w:t>Death before retirement</w:t>
            </w:r>
          </w:p>
        </w:tc>
        <w:tc>
          <w:tcPr>
            <w:tcW w:w="2261" w:type="dxa"/>
            <w:gridSpan w:val="2"/>
            <w:tcBorders>
              <w:top w:val="nil"/>
            </w:tcBorders>
            <w:shd w:val="clear" w:color="auto" w:fill="9CC2E5" w:themeFill="accent5" w:themeFillTint="99"/>
            <w:tcMar>
              <w:top w:w="58" w:type="dxa"/>
              <w:left w:w="116" w:type="dxa"/>
              <w:bottom w:w="58" w:type="dxa"/>
              <w:right w:w="116" w:type="dxa"/>
            </w:tcMar>
            <w:vAlign w:val="center"/>
          </w:tcPr>
          <w:p w14:paraId="7562A5EE" w14:textId="77777777" w:rsidR="00F93097" w:rsidRPr="00873F35" w:rsidRDefault="00F93097">
            <w:pPr>
              <w:pStyle w:val="BodyTextGrey"/>
              <w:spacing w:before="0" w:after="0"/>
              <w:jc w:val="center"/>
              <w:rPr>
                <w:b/>
                <w:bCs/>
                <w:color w:val="000000" w:themeColor="text1"/>
                <w:sz w:val="18"/>
                <w:szCs w:val="18"/>
              </w:rPr>
            </w:pPr>
            <w:r w:rsidRPr="00873F35">
              <w:rPr>
                <w:b/>
                <w:bCs/>
                <w:color w:val="000000" w:themeColor="text1"/>
                <w:sz w:val="18"/>
                <w:szCs w:val="18"/>
              </w:rPr>
              <w:t>Withdrawals</w:t>
            </w:r>
          </w:p>
        </w:tc>
        <w:tc>
          <w:tcPr>
            <w:tcW w:w="2208" w:type="dxa"/>
            <w:gridSpan w:val="2"/>
            <w:tcBorders>
              <w:top w:val="nil"/>
            </w:tcBorders>
            <w:shd w:val="clear" w:color="auto" w:fill="9CC2E5" w:themeFill="accent5" w:themeFillTint="99"/>
            <w:tcMar>
              <w:top w:w="58" w:type="dxa"/>
              <w:left w:w="116" w:type="dxa"/>
              <w:bottom w:w="58" w:type="dxa"/>
              <w:right w:w="116" w:type="dxa"/>
            </w:tcMar>
            <w:vAlign w:val="center"/>
          </w:tcPr>
          <w:p w14:paraId="64848C14" w14:textId="77777777" w:rsidR="00F93097" w:rsidRPr="00873F35" w:rsidRDefault="00F93097">
            <w:pPr>
              <w:pStyle w:val="BodyTextGrey"/>
              <w:spacing w:before="0" w:after="0"/>
              <w:jc w:val="center"/>
              <w:rPr>
                <w:b/>
                <w:bCs/>
                <w:color w:val="000000" w:themeColor="text1"/>
                <w:sz w:val="18"/>
                <w:szCs w:val="18"/>
              </w:rPr>
            </w:pPr>
            <w:r w:rsidRPr="00873F35">
              <w:rPr>
                <w:b/>
                <w:bCs/>
                <w:color w:val="000000" w:themeColor="text1"/>
                <w:sz w:val="18"/>
                <w:szCs w:val="18"/>
              </w:rPr>
              <w:t>Ill-health tier 1</w:t>
            </w:r>
          </w:p>
        </w:tc>
        <w:tc>
          <w:tcPr>
            <w:tcW w:w="2194" w:type="dxa"/>
            <w:gridSpan w:val="2"/>
            <w:tcBorders>
              <w:top w:val="nil"/>
              <w:right w:val="single" w:sz="8" w:space="0" w:color="D9D9D9"/>
            </w:tcBorders>
            <w:shd w:val="clear" w:color="auto" w:fill="9CC2E5" w:themeFill="accent5" w:themeFillTint="99"/>
            <w:tcMar>
              <w:top w:w="58" w:type="dxa"/>
              <w:left w:w="116" w:type="dxa"/>
              <w:bottom w:w="58" w:type="dxa"/>
              <w:right w:w="116" w:type="dxa"/>
            </w:tcMar>
            <w:vAlign w:val="center"/>
          </w:tcPr>
          <w:p w14:paraId="4BFEB567" w14:textId="77777777" w:rsidR="00F93097" w:rsidRPr="00873F35" w:rsidRDefault="00F93097">
            <w:pPr>
              <w:pStyle w:val="BodyTextGrey"/>
              <w:spacing w:before="0" w:after="0"/>
              <w:jc w:val="center"/>
              <w:rPr>
                <w:b/>
                <w:bCs/>
                <w:color w:val="000000" w:themeColor="text1"/>
                <w:sz w:val="18"/>
                <w:szCs w:val="18"/>
              </w:rPr>
            </w:pPr>
            <w:r w:rsidRPr="00873F35">
              <w:rPr>
                <w:b/>
                <w:bCs/>
                <w:color w:val="000000" w:themeColor="text1"/>
                <w:sz w:val="18"/>
                <w:szCs w:val="18"/>
              </w:rPr>
              <w:t>Ill-health tier 2</w:t>
            </w:r>
          </w:p>
        </w:tc>
      </w:tr>
      <w:tr w:rsidR="00F93097" w:rsidRPr="00EC12C2" w14:paraId="2A731C56" w14:textId="77777777">
        <w:trPr>
          <w:trHeight w:val="262"/>
        </w:trPr>
        <w:tc>
          <w:tcPr>
            <w:tcW w:w="946" w:type="dxa"/>
            <w:tcBorders>
              <w:left w:val="single" w:sz="8" w:space="0" w:color="D9D9D9"/>
            </w:tcBorders>
            <w:shd w:val="clear" w:color="auto" w:fill="DEEAF6" w:themeFill="accent5" w:themeFillTint="33"/>
            <w:tcMar>
              <w:top w:w="58" w:type="dxa"/>
              <w:left w:w="116" w:type="dxa"/>
              <w:bottom w:w="58" w:type="dxa"/>
              <w:right w:w="116" w:type="dxa"/>
            </w:tcMar>
            <w:vAlign w:val="center"/>
            <w:hideMark/>
          </w:tcPr>
          <w:p w14:paraId="6BC455A2" w14:textId="77777777" w:rsidR="00F93097" w:rsidRPr="00873F35" w:rsidRDefault="00F93097">
            <w:pPr>
              <w:pStyle w:val="BodyTextGrey"/>
              <w:spacing w:before="0" w:after="0"/>
              <w:rPr>
                <w:sz w:val="18"/>
                <w:szCs w:val="18"/>
              </w:rPr>
            </w:pPr>
          </w:p>
        </w:tc>
        <w:tc>
          <w:tcPr>
            <w:tcW w:w="974" w:type="dxa"/>
            <w:shd w:val="clear" w:color="auto" w:fill="DEEAF6" w:themeFill="accent5" w:themeFillTint="33"/>
            <w:tcMar>
              <w:top w:w="58" w:type="dxa"/>
              <w:left w:w="116" w:type="dxa"/>
              <w:bottom w:w="58" w:type="dxa"/>
              <w:right w:w="116" w:type="dxa"/>
            </w:tcMar>
            <w:vAlign w:val="center"/>
            <w:hideMark/>
          </w:tcPr>
          <w:p w14:paraId="66161DF0" w14:textId="77777777" w:rsidR="00F93097" w:rsidRPr="00873F35" w:rsidRDefault="00F93097">
            <w:pPr>
              <w:pStyle w:val="BodyTextGrey"/>
              <w:spacing w:before="0" w:after="0"/>
              <w:rPr>
                <w:sz w:val="18"/>
                <w:szCs w:val="18"/>
              </w:rPr>
            </w:pPr>
          </w:p>
        </w:tc>
        <w:tc>
          <w:tcPr>
            <w:tcW w:w="1472" w:type="dxa"/>
            <w:shd w:val="clear" w:color="auto" w:fill="DEEAF6" w:themeFill="accent5" w:themeFillTint="33"/>
            <w:tcMar>
              <w:top w:w="58" w:type="dxa"/>
              <w:left w:w="116" w:type="dxa"/>
              <w:bottom w:w="58" w:type="dxa"/>
              <w:right w:w="116" w:type="dxa"/>
            </w:tcMar>
            <w:vAlign w:val="center"/>
            <w:hideMark/>
          </w:tcPr>
          <w:p w14:paraId="79876437" w14:textId="77777777" w:rsidR="00F93097" w:rsidRPr="00873F35" w:rsidRDefault="00F93097">
            <w:pPr>
              <w:pStyle w:val="BodyTextGrey"/>
              <w:spacing w:before="0" w:after="0"/>
              <w:jc w:val="center"/>
              <w:rPr>
                <w:sz w:val="18"/>
                <w:szCs w:val="18"/>
              </w:rPr>
            </w:pPr>
            <w:r w:rsidRPr="00873F35">
              <w:rPr>
                <w:sz w:val="18"/>
                <w:szCs w:val="18"/>
              </w:rPr>
              <w:t>FT &amp; PT</w:t>
            </w:r>
          </w:p>
        </w:tc>
        <w:tc>
          <w:tcPr>
            <w:tcW w:w="1149" w:type="dxa"/>
            <w:shd w:val="clear" w:color="auto" w:fill="DEEAF6" w:themeFill="accent5" w:themeFillTint="33"/>
            <w:tcMar>
              <w:top w:w="58" w:type="dxa"/>
              <w:left w:w="116" w:type="dxa"/>
              <w:bottom w:w="58" w:type="dxa"/>
              <w:right w:w="116" w:type="dxa"/>
            </w:tcMar>
            <w:vAlign w:val="center"/>
            <w:hideMark/>
          </w:tcPr>
          <w:p w14:paraId="5A1C7EA0" w14:textId="77777777" w:rsidR="00F93097" w:rsidRPr="00873F35" w:rsidRDefault="00F93097">
            <w:pPr>
              <w:pStyle w:val="BodyTextGrey"/>
              <w:spacing w:before="0" w:after="0"/>
              <w:jc w:val="center"/>
              <w:rPr>
                <w:sz w:val="18"/>
                <w:szCs w:val="18"/>
              </w:rPr>
            </w:pPr>
            <w:r w:rsidRPr="00873F35">
              <w:rPr>
                <w:sz w:val="18"/>
                <w:szCs w:val="18"/>
              </w:rPr>
              <w:t>FT</w:t>
            </w:r>
          </w:p>
        </w:tc>
        <w:tc>
          <w:tcPr>
            <w:tcW w:w="1112" w:type="dxa"/>
            <w:shd w:val="clear" w:color="auto" w:fill="DEEAF6" w:themeFill="accent5" w:themeFillTint="33"/>
            <w:tcMar>
              <w:top w:w="58" w:type="dxa"/>
              <w:left w:w="116" w:type="dxa"/>
              <w:bottom w:w="58" w:type="dxa"/>
              <w:right w:w="116" w:type="dxa"/>
            </w:tcMar>
            <w:vAlign w:val="center"/>
            <w:hideMark/>
          </w:tcPr>
          <w:p w14:paraId="1232A8A7" w14:textId="77777777" w:rsidR="00F93097" w:rsidRPr="00873F35" w:rsidRDefault="00F93097">
            <w:pPr>
              <w:pStyle w:val="BodyTextGrey"/>
              <w:spacing w:before="0" w:after="0"/>
              <w:jc w:val="center"/>
              <w:rPr>
                <w:sz w:val="18"/>
                <w:szCs w:val="18"/>
              </w:rPr>
            </w:pPr>
            <w:r w:rsidRPr="00873F35">
              <w:rPr>
                <w:sz w:val="18"/>
                <w:szCs w:val="18"/>
              </w:rPr>
              <w:t>PT</w:t>
            </w:r>
          </w:p>
        </w:tc>
        <w:tc>
          <w:tcPr>
            <w:tcW w:w="1110" w:type="dxa"/>
            <w:shd w:val="clear" w:color="auto" w:fill="DEEAF6" w:themeFill="accent5" w:themeFillTint="33"/>
            <w:tcMar>
              <w:top w:w="58" w:type="dxa"/>
              <w:left w:w="116" w:type="dxa"/>
              <w:bottom w:w="58" w:type="dxa"/>
              <w:right w:w="116" w:type="dxa"/>
            </w:tcMar>
            <w:vAlign w:val="center"/>
            <w:hideMark/>
          </w:tcPr>
          <w:p w14:paraId="3C7CD10E" w14:textId="77777777" w:rsidR="00F93097" w:rsidRPr="00873F35" w:rsidRDefault="00F93097">
            <w:pPr>
              <w:pStyle w:val="BodyTextGrey"/>
              <w:spacing w:before="0" w:after="0"/>
              <w:jc w:val="center"/>
              <w:rPr>
                <w:sz w:val="18"/>
                <w:szCs w:val="18"/>
              </w:rPr>
            </w:pPr>
            <w:r w:rsidRPr="00873F35">
              <w:rPr>
                <w:sz w:val="18"/>
                <w:szCs w:val="18"/>
              </w:rPr>
              <w:t>FT</w:t>
            </w:r>
          </w:p>
        </w:tc>
        <w:tc>
          <w:tcPr>
            <w:tcW w:w="1098" w:type="dxa"/>
            <w:shd w:val="clear" w:color="auto" w:fill="DEEAF6" w:themeFill="accent5" w:themeFillTint="33"/>
            <w:tcMar>
              <w:top w:w="58" w:type="dxa"/>
              <w:left w:w="116" w:type="dxa"/>
              <w:bottom w:w="58" w:type="dxa"/>
              <w:right w:w="116" w:type="dxa"/>
            </w:tcMar>
            <w:vAlign w:val="center"/>
            <w:hideMark/>
          </w:tcPr>
          <w:p w14:paraId="1B6CDD61" w14:textId="77777777" w:rsidR="00F93097" w:rsidRPr="00873F35" w:rsidRDefault="00F93097">
            <w:pPr>
              <w:pStyle w:val="BodyTextGrey"/>
              <w:spacing w:before="0" w:after="0"/>
              <w:jc w:val="center"/>
              <w:rPr>
                <w:sz w:val="18"/>
                <w:szCs w:val="18"/>
              </w:rPr>
            </w:pPr>
            <w:r w:rsidRPr="00873F35">
              <w:rPr>
                <w:sz w:val="18"/>
                <w:szCs w:val="18"/>
              </w:rPr>
              <w:t>PT</w:t>
            </w:r>
          </w:p>
        </w:tc>
        <w:tc>
          <w:tcPr>
            <w:tcW w:w="1109" w:type="dxa"/>
            <w:shd w:val="clear" w:color="auto" w:fill="DEEAF6" w:themeFill="accent5" w:themeFillTint="33"/>
            <w:tcMar>
              <w:top w:w="58" w:type="dxa"/>
              <w:left w:w="116" w:type="dxa"/>
              <w:bottom w:w="58" w:type="dxa"/>
              <w:right w:w="116" w:type="dxa"/>
            </w:tcMar>
            <w:vAlign w:val="center"/>
            <w:hideMark/>
          </w:tcPr>
          <w:p w14:paraId="3A759D2B" w14:textId="77777777" w:rsidR="00F93097" w:rsidRPr="00873F35" w:rsidRDefault="00F93097">
            <w:pPr>
              <w:pStyle w:val="BodyTextGrey"/>
              <w:spacing w:before="0" w:after="0"/>
              <w:jc w:val="center"/>
              <w:rPr>
                <w:sz w:val="18"/>
                <w:szCs w:val="18"/>
              </w:rPr>
            </w:pPr>
            <w:r w:rsidRPr="00873F35">
              <w:rPr>
                <w:sz w:val="18"/>
                <w:szCs w:val="18"/>
              </w:rPr>
              <w:t>FT</w:t>
            </w:r>
          </w:p>
        </w:tc>
        <w:tc>
          <w:tcPr>
            <w:tcW w:w="1085" w:type="dxa"/>
            <w:tcBorders>
              <w:right w:val="single" w:sz="8" w:space="0" w:color="D9D9D9"/>
            </w:tcBorders>
            <w:shd w:val="clear" w:color="auto" w:fill="DEEAF6" w:themeFill="accent5" w:themeFillTint="33"/>
            <w:tcMar>
              <w:top w:w="58" w:type="dxa"/>
              <w:left w:w="116" w:type="dxa"/>
              <w:bottom w:w="58" w:type="dxa"/>
              <w:right w:w="116" w:type="dxa"/>
            </w:tcMar>
            <w:vAlign w:val="center"/>
            <w:hideMark/>
          </w:tcPr>
          <w:p w14:paraId="4D1B46AC" w14:textId="77777777" w:rsidR="00F93097" w:rsidRPr="00873F35" w:rsidRDefault="00F93097">
            <w:pPr>
              <w:pStyle w:val="BodyTextGrey"/>
              <w:spacing w:before="0" w:after="0"/>
              <w:jc w:val="center"/>
              <w:rPr>
                <w:sz w:val="18"/>
                <w:szCs w:val="18"/>
              </w:rPr>
            </w:pPr>
            <w:r w:rsidRPr="00873F35">
              <w:rPr>
                <w:sz w:val="18"/>
                <w:szCs w:val="18"/>
              </w:rPr>
              <w:t>PT</w:t>
            </w:r>
          </w:p>
        </w:tc>
      </w:tr>
      <w:tr w:rsidR="00F93097" w:rsidRPr="00873F35" w14:paraId="704BB82E" w14:textId="77777777">
        <w:trPr>
          <w:trHeight w:val="185"/>
        </w:trPr>
        <w:tc>
          <w:tcPr>
            <w:tcW w:w="946" w:type="dxa"/>
            <w:tcBorders>
              <w:top w:val="nil"/>
              <w:bottom w:val="single" w:sz="4" w:space="0" w:color="auto"/>
            </w:tcBorders>
            <w:tcMar>
              <w:top w:w="58" w:type="dxa"/>
              <w:left w:w="116" w:type="dxa"/>
              <w:bottom w:w="58" w:type="dxa"/>
              <w:right w:w="116" w:type="dxa"/>
            </w:tcMar>
            <w:vAlign w:val="center"/>
            <w:hideMark/>
          </w:tcPr>
          <w:p w14:paraId="1D12DFA5" w14:textId="77777777" w:rsidR="00F93097" w:rsidRPr="00873F35" w:rsidRDefault="00F93097">
            <w:pPr>
              <w:pStyle w:val="BodyTextGrey"/>
              <w:spacing w:before="0" w:after="0"/>
              <w:jc w:val="center"/>
              <w:rPr>
                <w:bCs/>
                <w:sz w:val="18"/>
                <w:szCs w:val="18"/>
              </w:rPr>
            </w:pPr>
            <w:r w:rsidRPr="00873F35">
              <w:rPr>
                <w:bCs/>
                <w:sz w:val="18"/>
                <w:szCs w:val="18"/>
              </w:rPr>
              <w:t>20</w:t>
            </w:r>
          </w:p>
        </w:tc>
        <w:tc>
          <w:tcPr>
            <w:tcW w:w="974" w:type="dxa"/>
            <w:tcBorders>
              <w:top w:val="nil"/>
              <w:bottom w:val="single" w:sz="4" w:space="0" w:color="auto"/>
            </w:tcBorders>
            <w:tcMar>
              <w:top w:w="58" w:type="dxa"/>
              <w:left w:w="116" w:type="dxa"/>
              <w:bottom w:w="58" w:type="dxa"/>
              <w:right w:w="116" w:type="dxa"/>
            </w:tcMar>
            <w:vAlign w:val="center"/>
            <w:hideMark/>
          </w:tcPr>
          <w:p w14:paraId="781A6C98" w14:textId="77777777" w:rsidR="00F93097" w:rsidRPr="00873F35" w:rsidRDefault="00F93097">
            <w:pPr>
              <w:pStyle w:val="BodyTextGrey"/>
              <w:spacing w:before="0" w:after="0"/>
              <w:jc w:val="center"/>
              <w:rPr>
                <w:bCs/>
                <w:sz w:val="18"/>
                <w:szCs w:val="18"/>
              </w:rPr>
            </w:pPr>
            <w:r w:rsidRPr="00873F35">
              <w:rPr>
                <w:bCs/>
                <w:sz w:val="18"/>
                <w:szCs w:val="18"/>
              </w:rPr>
              <w:t>105</w:t>
            </w:r>
          </w:p>
        </w:tc>
        <w:tc>
          <w:tcPr>
            <w:tcW w:w="1472" w:type="dxa"/>
            <w:tcBorders>
              <w:top w:val="nil"/>
              <w:bottom w:val="single" w:sz="4" w:space="0" w:color="auto"/>
            </w:tcBorders>
            <w:shd w:val="clear" w:color="auto" w:fill="FFFFFF"/>
            <w:tcMar>
              <w:top w:w="58" w:type="dxa"/>
              <w:left w:w="116" w:type="dxa"/>
              <w:bottom w:w="58" w:type="dxa"/>
              <w:right w:w="116" w:type="dxa"/>
            </w:tcMar>
            <w:vAlign w:val="center"/>
            <w:hideMark/>
          </w:tcPr>
          <w:p w14:paraId="28C4F124" w14:textId="77777777" w:rsidR="00F93097" w:rsidRPr="00873F35" w:rsidRDefault="00F93097">
            <w:pPr>
              <w:pStyle w:val="BodyTextGrey"/>
              <w:spacing w:before="0" w:after="0"/>
              <w:jc w:val="center"/>
              <w:rPr>
                <w:bCs/>
                <w:sz w:val="18"/>
                <w:szCs w:val="18"/>
              </w:rPr>
            </w:pPr>
            <w:r w:rsidRPr="00873F35">
              <w:rPr>
                <w:bCs/>
                <w:sz w:val="18"/>
                <w:szCs w:val="18"/>
              </w:rPr>
              <w:t>0.21</w:t>
            </w:r>
          </w:p>
        </w:tc>
        <w:tc>
          <w:tcPr>
            <w:tcW w:w="1149" w:type="dxa"/>
            <w:tcBorders>
              <w:top w:val="nil"/>
              <w:bottom w:val="single" w:sz="4" w:space="0" w:color="auto"/>
            </w:tcBorders>
            <w:shd w:val="clear" w:color="auto" w:fill="FFFFFF"/>
            <w:tcMar>
              <w:top w:w="58" w:type="dxa"/>
              <w:left w:w="116" w:type="dxa"/>
              <w:bottom w:w="58" w:type="dxa"/>
              <w:right w:w="116" w:type="dxa"/>
            </w:tcMar>
            <w:vAlign w:val="center"/>
            <w:hideMark/>
          </w:tcPr>
          <w:p w14:paraId="2663B78A" w14:textId="77777777" w:rsidR="00F93097" w:rsidRPr="00873F35" w:rsidRDefault="00F93097">
            <w:pPr>
              <w:pStyle w:val="BodyTextGrey"/>
              <w:spacing w:before="0" w:after="0"/>
              <w:jc w:val="center"/>
              <w:rPr>
                <w:bCs/>
                <w:sz w:val="18"/>
                <w:szCs w:val="18"/>
              </w:rPr>
            </w:pPr>
            <w:r w:rsidRPr="00873F35">
              <w:rPr>
                <w:bCs/>
                <w:sz w:val="18"/>
                <w:szCs w:val="18"/>
              </w:rPr>
              <w:t>270.14</w:t>
            </w:r>
          </w:p>
        </w:tc>
        <w:tc>
          <w:tcPr>
            <w:tcW w:w="1112" w:type="dxa"/>
            <w:tcBorders>
              <w:top w:val="nil"/>
              <w:bottom w:val="single" w:sz="4" w:space="0" w:color="auto"/>
            </w:tcBorders>
            <w:shd w:val="clear" w:color="auto" w:fill="FFFFFF"/>
            <w:tcMar>
              <w:top w:w="58" w:type="dxa"/>
              <w:left w:w="116" w:type="dxa"/>
              <w:bottom w:w="58" w:type="dxa"/>
              <w:right w:w="116" w:type="dxa"/>
            </w:tcMar>
            <w:vAlign w:val="center"/>
            <w:hideMark/>
          </w:tcPr>
          <w:p w14:paraId="5A84EB38" w14:textId="77777777" w:rsidR="00F93097" w:rsidRPr="00873F35" w:rsidRDefault="00F93097">
            <w:pPr>
              <w:pStyle w:val="BodyTextGrey"/>
              <w:spacing w:before="0" w:after="0"/>
              <w:jc w:val="center"/>
              <w:rPr>
                <w:bCs/>
                <w:sz w:val="18"/>
                <w:szCs w:val="18"/>
              </w:rPr>
            </w:pPr>
            <w:r w:rsidRPr="00873F35">
              <w:rPr>
                <w:bCs/>
                <w:sz w:val="18"/>
                <w:szCs w:val="18"/>
              </w:rPr>
              <w:t>434.15</w:t>
            </w:r>
          </w:p>
        </w:tc>
        <w:tc>
          <w:tcPr>
            <w:tcW w:w="1110" w:type="dxa"/>
            <w:tcBorders>
              <w:top w:val="nil"/>
              <w:bottom w:val="single" w:sz="4" w:space="0" w:color="auto"/>
            </w:tcBorders>
            <w:shd w:val="clear" w:color="auto" w:fill="FFFFFF"/>
            <w:tcMar>
              <w:top w:w="58" w:type="dxa"/>
              <w:left w:w="116" w:type="dxa"/>
              <w:bottom w:w="58" w:type="dxa"/>
              <w:right w:w="116" w:type="dxa"/>
            </w:tcMar>
            <w:vAlign w:val="center"/>
            <w:hideMark/>
          </w:tcPr>
          <w:p w14:paraId="3840A520" w14:textId="77777777" w:rsidR="00F93097" w:rsidRPr="00873F35" w:rsidRDefault="00F93097">
            <w:pPr>
              <w:pStyle w:val="BodyTextGrey"/>
              <w:spacing w:before="0" w:after="0"/>
              <w:jc w:val="center"/>
              <w:rPr>
                <w:bCs/>
                <w:sz w:val="18"/>
                <w:szCs w:val="18"/>
              </w:rPr>
            </w:pPr>
            <w:r w:rsidRPr="00873F35">
              <w:rPr>
                <w:bCs/>
                <w:sz w:val="18"/>
                <w:szCs w:val="18"/>
              </w:rPr>
              <w:t>0</w:t>
            </w:r>
          </w:p>
        </w:tc>
        <w:tc>
          <w:tcPr>
            <w:tcW w:w="1098" w:type="dxa"/>
            <w:tcBorders>
              <w:top w:val="nil"/>
              <w:bottom w:val="single" w:sz="4" w:space="0" w:color="auto"/>
            </w:tcBorders>
            <w:shd w:val="clear" w:color="auto" w:fill="FFFFFF"/>
            <w:tcMar>
              <w:top w:w="58" w:type="dxa"/>
              <w:left w:w="116" w:type="dxa"/>
              <w:bottom w:w="58" w:type="dxa"/>
              <w:right w:w="116" w:type="dxa"/>
            </w:tcMar>
            <w:vAlign w:val="center"/>
            <w:hideMark/>
          </w:tcPr>
          <w:p w14:paraId="230B980A" w14:textId="77777777" w:rsidR="00F93097" w:rsidRPr="00873F35" w:rsidRDefault="00F93097">
            <w:pPr>
              <w:pStyle w:val="BodyTextGrey"/>
              <w:spacing w:before="0" w:after="0"/>
              <w:jc w:val="center"/>
              <w:rPr>
                <w:bCs/>
                <w:sz w:val="18"/>
                <w:szCs w:val="18"/>
              </w:rPr>
            </w:pPr>
            <w:r w:rsidRPr="00873F35">
              <w:rPr>
                <w:bCs/>
                <w:sz w:val="18"/>
                <w:szCs w:val="18"/>
              </w:rPr>
              <w:t>0</w:t>
            </w:r>
          </w:p>
        </w:tc>
        <w:tc>
          <w:tcPr>
            <w:tcW w:w="1109" w:type="dxa"/>
            <w:tcBorders>
              <w:top w:val="nil"/>
              <w:bottom w:val="single" w:sz="4" w:space="0" w:color="auto"/>
            </w:tcBorders>
            <w:shd w:val="clear" w:color="auto" w:fill="FFFFFF"/>
            <w:tcMar>
              <w:top w:w="58" w:type="dxa"/>
              <w:left w:w="116" w:type="dxa"/>
              <w:bottom w:w="58" w:type="dxa"/>
              <w:right w:w="116" w:type="dxa"/>
            </w:tcMar>
            <w:vAlign w:val="center"/>
            <w:hideMark/>
          </w:tcPr>
          <w:p w14:paraId="0ED48231" w14:textId="77777777" w:rsidR="00F93097" w:rsidRPr="00873F35" w:rsidRDefault="00F93097">
            <w:pPr>
              <w:pStyle w:val="BodyTextGrey"/>
              <w:spacing w:before="0" w:after="0"/>
              <w:jc w:val="center"/>
              <w:rPr>
                <w:bCs/>
                <w:sz w:val="18"/>
                <w:szCs w:val="18"/>
              </w:rPr>
            </w:pPr>
            <w:r w:rsidRPr="00873F35">
              <w:rPr>
                <w:bCs/>
                <w:sz w:val="18"/>
                <w:szCs w:val="18"/>
              </w:rPr>
              <w:t>0</w:t>
            </w:r>
          </w:p>
        </w:tc>
        <w:tc>
          <w:tcPr>
            <w:tcW w:w="1085" w:type="dxa"/>
            <w:tcBorders>
              <w:top w:val="nil"/>
              <w:bottom w:val="single" w:sz="4" w:space="0" w:color="auto"/>
            </w:tcBorders>
            <w:shd w:val="clear" w:color="auto" w:fill="FFFFFF"/>
            <w:tcMar>
              <w:top w:w="58" w:type="dxa"/>
              <w:left w:w="116" w:type="dxa"/>
              <w:bottom w:w="58" w:type="dxa"/>
              <w:right w:w="116" w:type="dxa"/>
            </w:tcMar>
            <w:vAlign w:val="center"/>
            <w:hideMark/>
          </w:tcPr>
          <w:p w14:paraId="09933B04" w14:textId="77777777" w:rsidR="00F93097" w:rsidRPr="00873F35" w:rsidRDefault="00F93097">
            <w:pPr>
              <w:pStyle w:val="BodyTextGrey"/>
              <w:spacing w:before="0" w:after="0"/>
              <w:jc w:val="center"/>
              <w:rPr>
                <w:bCs/>
                <w:sz w:val="18"/>
                <w:szCs w:val="18"/>
              </w:rPr>
            </w:pPr>
            <w:r w:rsidRPr="00873F35">
              <w:rPr>
                <w:bCs/>
                <w:sz w:val="18"/>
                <w:szCs w:val="18"/>
              </w:rPr>
              <w:t>0</w:t>
            </w:r>
          </w:p>
        </w:tc>
      </w:tr>
      <w:tr w:rsidR="00F93097" w:rsidRPr="00873F35" w14:paraId="4FF1A13D"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23E5B19A" w14:textId="77777777" w:rsidR="00F93097" w:rsidRPr="00873F35" w:rsidRDefault="00F93097">
            <w:pPr>
              <w:pStyle w:val="BodyTextGrey"/>
              <w:spacing w:before="0" w:after="0"/>
              <w:jc w:val="center"/>
              <w:rPr>
                <w:bCs/>
                <w:sz w:val="18"/>
                <w:szCs w:val="18"/>
              </w:rPr>
            </w:pPr>
            <w:r w:rsidRPr="00873F35">
              <w:rPr>
                <w:bCs/>
                <w:sz w:val="18"/>
                <w:szCs w:val="18"/>
              </w:rPr>
              <w:t>25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3DDB2235" w14:textId="77777777" w:rsidR="00F93097" w:rsidRPr="00873F35" w:rsidRDefault="00F93097">
            <w:pPr>
              <w:pStyle w:val="BodyTextGrey"/>
              <w:spacing w:before="0" w:after="0"/>
              <w:jc w:val="center"/>
              <w:rPr>
                <w:bCs/>
                <w:sz w:val="18"/>
                <w:szCs w:val="18"/>
              </w:rPr>
            </w:pPr>
            <w:r w:rsidRPr="00873F35">
              <w:rPr>
                <w:bCs/>
                <w:sz w:val="18"/>
                <w:szCs w:val="18"/>
              </w:rPr>
              <w:t>117</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ABC2D1D" w14:textId="77777777" w:rsidR="00F93097" w:rsidRPr="00873F35" w:rsidRDefault="00F93097">
            <w:pPr>
              <w:pStyle w:val="BodyTextGrey"/>
              <w:spacing w:before="0" w:after="0"/>
              <w:jc w:val="center"/>
              <w:rPr>
                <w:bCs/>
                <w:sz w:val="18"/>
                <w:szCs w:val="18"/>
              </w:rPr>
            </w:pPr>
            <w:r w:rsidRPr="00873F35">
              <w:rPr>
                <w:bCs/>
                <w:sz w:val="18"/>
                <w:szCs w:val="18"/>
              </w:rPr>
              <w:t>0.21</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01B6D8E" w14:textId="77777777" w:rsidR="00F93097" w:rsidRPr="00873F35" w:rsidRDefault="00F93097">
            <w:pPr>
              <w:pStyle w:val="BodyTextGrey"/>
              <w:spacing w:before="0" w:after="0"/>
              <w:jc w:val="center"/>
              <w:rPr>
                <w:bCs/>
                <w:sz w:val="18"/>
                <w:szCs w:val="18"/>
              </w:rPr>
            </w:pPr>
            <w:r w:rsidRPr="00873F35">
              <w:rPr>
                <w:bCs/>
                <w:sz w:val="18"/>
                <w:szCs w:val="18"/>
              </w:rPr>
              <w:t>178.44</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746A704" w14:textId="77777777" w:rsidR="00F93097" w:rsidRPr="00873F35" w:rsidRDefault="00F93097">
            <w:pPr>
              <w:pStyle w:val="BodyTextGrey"/>
              <w:spacing w:before="0" w:after="0"/>
              <w:jc w:val="center"/>
              <w:rPr>
                <w:bCs/>
                <w:sz w:val="18"/>
                <w:szCs w:val="18"/>
              </w:rPr>
            </w:pPr>
            <w:r w:rsidRPr="00873F35">
              <w:rPr>
                <w:bCs/>
                <w:sz w:val="18"/>
                <w:szCs w:val="18"/>
              </w:rPr>
              <w:t>286.77</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C823AC3" w14:textId="77777777" w:rsidR="00F93097" w:rsidRPr="00873F35" w:rsidRDefault="00F93097">
            <w:pPr>
              <w:pStyle w:val="BodyTextGrey"/>
              <w:spacing w:before="0" w:after="0"/>
              <w:jc w:val="center"/>
              <w:rPr>
                <w:bCs/>
                <w:sz w:val="18"/>
                <w:szCs w:val="18"/>
              </w:rPr>
            </w:pPr>
            <w:r w:rsidRPr="00873F35">
              <w:rPr>
                <w:bCs/>
                <w:sz w:val="18"/>
                <w:szCs w:val="18"/>
              </w:rPr>
              <w:t>0.11</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B1543D9" w14:textId="77777777" w:rsidR="00F93097" w:rsidRPr="00873F35" w:rsidRDefault="00F93097">
            <w:pPr>
              <w:pStyle w:val="BodyTextGrey"/>
              <w:spacing w:before="0" w:after="0"/>
              <w:jc w:val="center"/>
              <w:rPr>
                <w:bCs/>
                <w:sz w:val="18"/>
                <w:szCs w:val="18"/>
              </w:rPr>
            </w:pPr>
            <w:r w:rsidRPr="00873F35">
              <w:rPr>
                <w:bCs/>
                <w:sz w:val="18"/>
                <w:szCs w:val="18"/>
              </w:rPr>
              <w:t>0.02</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9D8C328" w14:textId="77777777" w:rsidR="00F93097" w:rsidRPr="00873F35" w:rsidRDefault="00F93097">
            <w:pPr>
              <w:pStyle w:val="BodyTextGrey"/>
              <w:spacing w:before="0" w:after="0"/>
              <w:jc w:val="center"/>
              <w:rPr>
                <w:bCs/>
                <w:sz w:val="18"/>
                <w:szCs w:val="18"/>
              </w:rPr>
            </w:pPr>
            <w:r w:rsidRPr="00873F35">
              <w:rPr>
                <w:bCs/>
                <w:sz w:val="18"/>
                <w:szCs w:val="18"/>
              </w:rPr>
              <w:t>0.13</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BC3C1E0" w14:textId="77777777" w:rsidR="00F93097" w:rsidRPr="00873F35" w:rsidRDefault="00F93097">
            <w:pPr>
              <w:pStyle w:val="BodyTextGrey"/>
              <w:spacing w:before="0" w:after="0"/>
              <w:jc w:val="center"/>
              <w:rPr>
                <w:bCs/>
                <w:sz w:val="18"/>
                <w:szCs w:val="18"/>
              </w:rPr>
            </w:pPr>
            <w:r w:rsidRPr="00873F35">
              <w:rPr>
                <w:bCs/>
                <w:sz w:val="18"/>
                <w:szCs w:val="18"/>
              </w:rPr>
              <w:t>0.02</w:t>
            </w:r>
          </w:p>
        </w:tc>
      </w:tr>
      <w:tr w:rsidR="00F93097" w:rsidRPr="00873F35" w14:paraId="60970B13"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03C38C89" w14:textId="77777777" w:rsidR="00F93097" w:rsidRPr="00873F35" w:rsidRDefault="00F93097">
            <w:pPr>
              <w:pStyle w:val="BodyTextGrey"/>
              <w:spacing w:before="0" w:after="0"/>
              <w:jc w:val="center"/>
              <w:rPr>
                <w:bCs/>
                <w:sz w:val="18"/>
                <w:szCs w:val="18"/>
              </w:rPr>
            </w:pPr>
            <w:r w:rsidRPr="00873F35">
              <w:rPr>
                <w:bCs/>
                <w:sz w:val="18"/>
                <w:szCs w:val="18"/>
              </w:rPr>
              <w:t>30</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7FF32268" w14:textId="77777777" w:rsidR="00F93097" w:rsidRPr="00873F35" w:rsidRDefault="00F93097">
            <w:pPr>
              <w:pStyle w:val="BodyTextGrey"/>
              <w:spacing w:before="0" w:after="0"/>
              <w:jc w:val="center"/>
              <w:rPr>
                <w:bCs/>
                <w:sz w:val="18"/>
                <w:szCs w:val="18"/>
              </w:rPr>
            </w:pPr>
            <w:r w:rsidRPr="00873F35">
              <w:rPr>
                <w:bCs/>
                <w:sz w:val="18"/>
                <w:szCs w:val="18"/>
              </w:rPr>
              <w:t>131</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D7BEA4A" w14:textId="77777777" w:rsidR="00F93097" w:rsidRPr="00873F35" w:rsidRDefault="00F93097">
            <w:pPr>
              <w:pStyle w:val="BodyTextGrey"/>
              <w:spacing w:before="0" w:after="0"/>
              <w:jc w:val="center"/>
              <w:rPr>
                <w:bCs/>
                <w:sz w:val="18"/>
                <w:szCs w:val="18"/>
              </w:rPr>
            </w:pPr>
            <w:r w:rsidRPr="00873F35">
              <w:rPr>
                <w:bCs/>
                <w:sz w:val="18"/>
                <w:szCs w:val="18"/>
              </w:rPr>
              <w:t>0.26</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5D7F220" w14:textId="77777777" w:rsidR="00F93097" w:rsidRPr="00873F35" w:rsidRDefault="00F93097">
            <w:pPr>
              <w:pStyle w:val="BodyTextGrey"/>
              <w:spacing w:before="0" w:after="0"/>
              <w:jc w:val="center"/>
              <w:rPr>
                <w:bCs/>
                <w:sz w:val="18"/>
                <w:szCs w:val="18"/>
              </w:rPr>
            </w:pPr>
            <w:r w:rsidRPr="00873F35">
              <w:rPr>
                <w:bCs/>
                <w:sz w:val="18"/>
                <w:szCs w:val="18"/>
              </w:rPr>
              <w:t>126.57</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87075EA" w14:textId="77777777" w:rsidR="00F93097" w:rsidRPr="00873F35" w:rsidRDefault="00F93097">
            <w:pPr>
              <w:pStyle w:val="BodyTextGrey"/>
              <w:spacing w:before="0" w:after="0"/>
              <w:jc w:val="center"/>
              <w:rPr>
                <w:bCs/>
                <w:sz w:val="18"/>
                <w:szCs w:val="18"/>
              </w:rPr>
            </w:pPr>
            <w:r w:rsidRPr="00873F35">
              <w:rPr>
                <w:bCs/>
                <w:sz w:val="18"/>
                <w:szCs w:val="18"/>
              </w:rPr>
              <w:t>203.42</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D686601" w14:textId="77777777" w:rsidR="00F93097" w:rsidRPr="00873F35" w:rsidRDefault="00F93097">
            <w:pPr>
              <w:pStyle w:val="BodyTextGrey"/>
              <w:spacing w:before="0" w:after="0"/>
              <w:jc w:val="center"/>
              <w:rPr>
                <w:bCs/>
                <w:sz w:val="18"/>
                <w:szCs w:val="18"/>
              </w:rPr>
            </w:pPr>
            <w:r w:rsidRPr="00873F35">
              <w:rPr>
                <w:bCs/>
                <w:sz w:val="18"/>
                <w:szCs w:val="18"/>
              </w:rPr>
              <w:t>0.21</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91DFF97" w14:textId="77777777" w:rsidR="00F93097" w:rsidRPr="00873F35" w:rsidRDefault="00F93097">
            <w:pPr>
              <w:pStyle w:val="BodyTextGrey"/>
              <w:spacing w:before="0" w:after="0"/>
              <w:jc w:val="center"/>
              <w:rPr>
                <w:bCs/>
                <w:sz w:val="18"/>
                <w:szCs w:val="18"/>
              </w:rPr>
            </w:pPr>
            <w:r w:rsidRPr="00873F35">
              <w:rPr>
                <w:bCs/>
                <w:sz w:val="18"/>
                <w:szCs w:val="18"/>
              </w:rPr>
              <w:t>0.03</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EE32BC9" w14:textId="77777777" w:rsidR="00F93097" w:rsidRPr="00873F35" w:rsidRDefault="00F93097">
            <w:pPr>
              <w:pStyle w:val="BodyTextGrey"/>
              <w:spacing w:before="0" w:after="0"/>
              <w:jc w:val="center"/>
              <w:rPr>
                <w:bCs/>
                <w:sz w:val="18"/>
                <w:szCs w:val="18"/>
              </w:rPr>
            </w:pPr>
            <w:r w:rsidRPr="00873F35">
              <w:rPr>
                <w:bCs/>
                <w:sz w:val="18"/>
                <w:szCs w:val="18"/>
              </w:rPr>
              <w:t>0.23</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C136F07" w14:textId="77777777" w:rsidR="00F93097" w:rsidRPr="00873F35" w:rsidRDefault="00F93097">
            <w:pPr>
              <w:pStyle w:val="BodyTextGrey"/>
              <w:spacing w:before="0" w:after="0"/>
              <w:jc w:val="center"/>
              <w:rPr>
                <w:bCs/>
                <w:sz w:val="18"/>
                <w:szCs w:val="18"/>
              </w:rPr>
            </w:pPr>
            <w:r w:rsidRPr="00873F35">
              <w:rPr>
                <w:bCs/>
                <w:sz w:val="18"/>
                <w:szCs w:val="18"/>
              </w:rPr>
              <w:t>0.03</w:t>
            </w:r>
          </w:p>
        </w:tc>
      </w:tr>
      <w:tr w:rsidR="00F93097" w:rsidRPr="00873F35" w14:paraId="07A94C71"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1D90C633" w14:textId="77777777" w:rsidR="00F93097" w:rsidRPr="00873F35" w:rsidRDefault="00F93097">
            <w:pPr>
              <w:pStyle w:val="BodyTextGrey"/>
              <w:spacing w:before="0" w:after="0"/>
              <w:jc w:val="center"/>
              <w:rPr>
                <w:bCs/>
                <w:sz w:val="18"/>
                <w:szCs w:val="18"/>
              </w:rPr>
            </w:pPr>
            <w:r w:rsidRPr="00873F35">
              <w:rPr>
                <w:bCs/>
                <w:sz w:val="18"/>
                <w:szCs w:val="18"/>
              </w:rPr>
              <w:t>35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56105463" w14:textId="77777777" w:rsidR="00F93097" w:rsidRPr="00873F35" w:rsidRDefault="00F93097">
            <w:pPr>
              <w:pStyle w:val="BodyTextGrey"/>
              <w:spacing w:before="0" w:after="0"/>
              <w:jc w:val="center"/>
              <w:rPr>
                <w:bCs/>
                <w:sz w:val="18"/>
                <w:szCs w:val="18"/>
              </w:rPr>
            </w:pPr>
            <w:r w:rsidRPr="00873F35">
              <w:rPr>
                <w:bCs/>
                <w:sz w:val="18"/>
                <w:szCs w:val="18"/>
              </w:rPr>
              <w:t>144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B824D34" w14:textId="77777777" w:rsidR="00F93097" w:rsidRPr="00873F35" w:rsidRDefault="00F93097">
            <w:pPr>
              <w:pStyle w:val="BodyTextGrey"/>
              <w:spacing w:before="0" w:after="0"/>
              <w:jc w:val="center"/>
              <w:rPr>
                <w:bCs/>
                <w:sz w:val="18"/>
                <w:szCs w:val="18"/>
              </w:rPr>
            </w:pPr>
            <w:r w:rsidRPr="00873F35">
              <w:rPr>
                <w:bCs/>
                <w:sz w:val="18"/>
                <w:szCs w:val="18"/>
              </w:rPr>
              <w:t>0.30</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0D8ABAA" w14:textId="77777777" w:rsidR="00F93097" w:rsidRPr="00873F35" w:rsidRDefault="00F93097">
            <w:pPr>
              <w:pStyle w:val="BodyTextGrey"/>
              <w:spacing w:before="0" w:after="0"/>
              <w:jc w:val="center"/>
              <w:rPr>
                <w:bCs/>
                <w:sz w:val="18"/>
                <w:szCs w:val="18"/>
              </w:rPr>
            </w:pPr>
            <w:r w:rsidRPr="00873F35">
              <w:rPr>
                <w:bCs/>
                <w:sz w:val="18"/>
                <w:szCs w:val="18"/>
              </w:rPr>
              <w:t>98.87</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33E888C" w14:textId="77777777" w:rsidR="00F93097" w:rsidRPr="00873F35" w:rsidRDefault="00F93097">
            <w:pPr>
              <w:pStyle w:val="BodyTextGrey"/>
              <w:spacing w:before="0" w:after="0"/>
              <w:jc w:val="center"/>
              <w:rPr>
                <w:bCs/>
                <w:sz w:val="18"/>
                <w:szCs w:val="18"/>
              </w:rPr>
            </w:pPr>
            <w:r w:rsidRPr="00873F35">
              <w:rPr>
                <w:bCs/>
                <w:sz w:val="18"/>
                <w:szCs w:val="18"/>
              </w:rPr>
              <w:t>158.90</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109635D" w14:textId="77777777" w:rsidR="00F93097" w:rsidRPr="00873F35" w:rsidRDefault="00F93097">
            <w:pPr>
              <w:pStyle w:val="BodyTextGrey"/>
              <w:spacing w:before="0" w:after="0"/>
              <w:jc w:val="center"/>
              <w:rPr>
                <w:bCs/>
                <w:sz w:val="18"/>
                <w:szCs w:val="18"/>
              </w:rPr>
            </w:pPr>
            <w:r w:rsidRPr="00873F35">
              <w:rPr>
                <w:bCs/>
                <w:sz w:val="18"/>
                <w:szCs w:val="18"/>
              </w:rPr>
              <w:t>0.41</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035AE0B" w14:textId="77777777" w:rsidR="00F93097" w:rsidRPr="00873F35" w:rsidRDefault="00F93097">
            <w:pPr>
              <w:pStyle w:val="BodyTextGrey"/>
              <w:spacing w:before="0" w:after="0"/>
              <w:jc w:val="center"/>
              <w:rPr>
                <w:bCs/>
                <w:sz w:val="18"/>
                <w:szCs w:val="18"/>
              </w:rPr>
            </w:pPr>
            <w:r w:rsidRPr="00873F35">
              <w:rPr>
                <w:bCs/>
                <w:sz w:val="18"/>
                <w:szCs w:val="18"/>
              </w:rPr>
              <w:t>0.14</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662ABDF" w14:textId="77777777" w:rsidR="00F93097" w:rsidRPr="00873F35" w:rsidRDefault="00F93097">
            <w:pPr>
              <w:pStyle w:val="BodyTextGrey"/>
              <w:spacing w:before="0" w:after="0"/>
              <w:jc w:val="center"/>
              <w:rPr>
                <w:bCs/>
                <w:sz w:val="18"/>
                <w:szCs w:val="18"/>
              </w:rPr>
            </w:pPr>
            <w:r w:rsidRPr="00873F35">
              <w:rPr>
                <w:bCs/>
                <w:sz w:val="18"/>
                <w:szCs w:val="18"/>
              </w:rPr>
              <w:t>0.46</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268559D" w14:textId="77777777" w:rsidR="00F93097" w:rsidRPr="00873F35" w:rsidRDefault="00F93097">
            <w:pPr>
              <w:pStyle w:val="BodyTextGrey"/>
              <w:spacing w:before="0" w:after="0"/>
              <w:jc w:val="center"/>
              <w:rPr>
                <w:bCs/>
                <w:sz w:val="18"/>
                <w:szCs w:val="18"/>
              </w:rPr>
            </w:pPr>
            <w:r w:rsidRPr="00873F35">
              <w:rPr>
                <w:bCs/>
                <w:sz w:val="18"/>
                <w:szCs w:val="18"/>
              </w:rPr>
              <w:t>0.15</w:t>
            </w:r>
          </w:p>
        </w:tc>
      </w:tr>
      <w:tr w:rsidR="00F93097" w:rsidRPr="00873F35" w14:paraId="6D255F78"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04E64DD1" w14:textId="77777777" w:rsidR="00F93097" w:rsidRPr="00873F35" w:rsidRDefault="00F93097">
            <w:pPr>
              <w:pStyle w:val="BodyTextGrey"/>
              <w:spacing w:before="0" w:after="0"/>
              <w:jc w:val="center"/>
              <w:rPr>
                <w:bCs/>
                <w:sz w:val="18"/>
                <w:szCs w:val="18"/>
              </w:rPr>
            </w:pPr>
            <w:r w:rsidRPr="00873F35">
              <w:rPr>
                <w:bCs/>
                <w:sz w:val="18"/>
                <w:szCs w:val="18"/>
              </w:rPr>
              <w:t>40</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1243F856" w14:textId="77777777" w:rsidR="00F93097" w:rsidRPr="00873F35" w:rsidRDefault="00F93097">
            <w:pPr>
              <w:pStyle w:val="BodyTextGrey"/>
              <w:spacing w:before="0" w:after="0"/>
              <w:jc w:val="center"/>
              <w:rPr>
                <w:bCs/>
                <w:sz w:val="18"/>
                <w:szCs w:val="18"/>
              </w:rPr>
            </w:pPr>
            <w:r w:rsidRPr="00873F35">
              <w:rPr>
                <w:bCs/>
                <w:sz w:val="18"/>
                <w:szCs w:val="18"/>
              </w:rPr>
              <w:t>154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49AB190" w14:textId="77777777" w:rsidR="00F93097" w:rsidRPr="00873F35" w:rsidRDefault="00F93097">
            <w:pPr>
              <w:pStyle w:val="BodyTextGrey"/>
              <w:spacing w:before="0" w:after="0"/>
              <w:jc w:val="center"/>
              <w:rPr>
                <w:bCs/>
                <w:sz w:val="18"/>
                <w:szCs w:val="18"/>
              </w:rPr>
            </w:pPr>
            <w:r w:rsidRPr="00873F35">
              <w:rPr>
                <w:bCs/>
                <w:sz w:val="18"/>
                <w:szCs w:val="18"/>
              </w:rPr>
              <w:t>0.51</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D9AD59A" w14:textId="77777777" w:rsidR="00F93097" w:rsidRPr="00873F35" w:rsidRDefault="00F93097">
            <w:pPr>
              <w:pStyle w:val="BodyTextGrey"/>
              <w:spacing w:before="0" w:after="0"/>
              <w:jc w:val="center"/>
              <w:rPr>
                <w:bCs/>
                <w:sz w:val="18"/>
                <w:szCs w:val="18"/>
              </w:rPr>
            </w:pPr>
            <w:r w:rsidRPr="00873F35">
              <w:rPr>
                <w:bCs/>
                <w:sz w:val="18"/>
                <w:szCs w:val="18"/>
              </w:rPr>
              <w:t>79.56</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8014B30" w14:textId="77777777" w:rsidR="00F93097" w:rsidRPr="00873F35" w:rsidRDefault="00F93097">
            <w:pPr>
              <w:pStyle w:val="BodyTextGrey"/>
              <w:spacing w:before="0" w:after="0"/>
              <w:jc w:val="center"/>
              <w:rPr>
                <w:bCs/>
                <w:sz w:val="18"/>
                <w:szCs w:val="18"/>
              </w:rPr>
            </w:pPr>
            <w:r w:rsidRPr="00873F35">
              <w:rPr>
                <w:bCs/>
                <w:sz w:val="18"/>
                <w:szCs w:val="18"/>
              </w:rPr>
              <w:t>127.86</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4AE4CE5" w14:textId="77777777" w:rsidR="00F93097" w:rsidRPr="00873F35" w:rsidRDefault="00F93097">
            <w:pPr>
              <w:pStyle w:val="BodyTextGrey"/>
              <w:spacing w:before="0" w:after="0"/>
              <w:jc w:val="center"/>
              <w:rPr>
                <w:bCs/>
                <w:sz w:val="18"/>
                <w:szCs w:val="18"/>
              </w:rPr>
            </w:pPr>
            <w:r w:rsidRPr="00873F35">
              <w:rPr>
                <w:bCs/>
                <w:sz w:val="18"/>
                <w:szCs w:val="18"/>
              </w:rPr>
              <w:t>0.62</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DC8F2F0" w14:textId="77777777" w:rsidR="00F93097" w:rsidRPr="00873F35" w:rsidRDefault="00F93097">
            <w:pPr>
              <w:pStyle w:val="BodyTextGrey"/>
              <w:spacing w:before="0" w:after="0"/>
              <w:jc w:val="center"/>
              <w:rPr>
                <w:bCs/>
                <w:sz w:val="18"/>
                <w:szCs w:val="18"/>
              </w:rPr>
            </w:pPr>
            <w:r w:rsidRPr="00873F35">
              <w:rPr>
                <w:bCs/>
                <w:sz w:val="18"/>
                <w:szCs w:val="18"/>
              </w:rPr>
              <w:t>0.26</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11CC3DF" w14:textId="77777777" w:rsidR="00F93097" w:rsidRPr="00873F35" w:rsidRDefault="00F93097">
            <w:pPr>
              <w:pStyle w:val="BodyTextGrey"/>
              <w:spacing w:before="0" w:after="0"/>
              <w:jc w:val="center"/>
              <w:rPr>
                <w:bCs/>
                <w:sz w:val="18"/>
                <w:szCs w:val="18"/>
              </w:rPr>
            </w:pPr>
            <w:r w:rsidRPr="00873F35">
              <w:rPr>
                <w:bCs/>
                <w:sz w:val="18"/>
                <w:szCs w:val="18"/>
              </w:rPr>
              <w:t>0.69</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792FDF4" w14:textId="77777777" w:rsidR="00F93097" w:rsidRPr="00873F35" w:rsidRDefault="00F93097">
            <w:pPr>
              <w:pStyle w:val="BodyTextGrey"/>
              <w:spacing w:before="0" w:after="0"/>
              <w:jc w:val="center"/>
              <w:rPr>
                <w:bCs/>
                <w:sz w:val="18"/>
                <w:szCs w:val="18"/>
              </w:rPr>
            </w:pPr>
            <w:r w:rsidRPr="00873F35">
              <w:rPr>
                <w:bCs/>
                <w:sz w:val="18"/>
                <w:szCs w:val="18"/>
              </w:rPr>
              <w:t>0.24</w:t>
            </w:r>
          </w:p>
        </w:tc>
      </w:tr>
      <w:tr w:rsidR="00F93097" w:rsidRPr="00873F35" w14:paraId="088D5803"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4DCC5E20" w14:textId="77777777" w:rsidR="00F93097" w:rsidRPr="00873F35" w:rsidRDefault="00F93097">
            <w:pPr>
              <w:pStyle w:val="BodyTextGrey"/>
              <w:spacing w:before="0" w:after="0"/>
              <w:jc w:val="center"/>
              <w:rPr>
                <w:bCs/>
                <w:sz w:val="18"/>
                <w:szCs w:val="18"/>
              </w:rPr>
            </w:pPr>
            <w:r w:rsidRPr="00873F35">
              <w:rPr>
                <w:bCs/>
                <w:sz w:val="18"/>
                <w:szCs w:val="18"/>
              </w:rPr>
              <w:t>45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3443E23E" w14:textId="77777777" w:rsidR="00F93097" w:rsidRPr="00873F35" w:rsidRDefault="00F93097">
            <w:pPr>
              <w:pStyle w:val="BodyTextGrey"/>
              <w:spacing w:before="0" w:after="0"/>
              <w:jc w:val="center"/>
              <w:rPr>
                <w:bCs/>
                <w:sz w:val="18"/>
                <w:szCs w:val="18"/>
              </w:rPr>
            </w:pPr>
            <w:r w:rsidRPr="00873F35">
              <w:rPr>
                <w:bCs/>
                <w:sz w:val="18"/>
                <w:szCs w:val="18"/>
              </w:rPr>
              <w:t>164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B4B3E97" w14:textId="77777777" w:rsidR="00F93097" w:rsidRPr="00873F35" w:rsidRDefault="00F93097">
            <w:pPr>
              <w:pStyle w:val="BodyTextGrey"/>
              <w:spacing w:before="0" w:after="0"/>
              <w:jc w:val="center"/>
              <w:rPr>
                <w:bCs/>
                <w:sz w:val="18"/>
                <w:szCs w:val="18"/>
              </w:rPr>
            </w:pPr>
            <w:r w:rsidRPr="00873F35">
              <w:rPr>
                <w:bCs/>
                <w:sz w:val="18"/>
                <w:szCs w:val="18"/>
              </w:rPr>
              <w:t>0.86</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0ACE713" w14:textId="77777777" w:rsidR="00F93097" w:rsidRPr="00873F35" w:rsidRDefault="00F93097">
            <w:pPr>
              <w:pStyle w:val="BodyTextGrey"/>
              <w:spacing w:before="0" w:after="0"/>
              <w:jc w:val="center"/>
              <w:rPr>
                <w:bCs/>
                <w:sz w:val="18"/>
                <w:szCs w:val="18"/>
              </w:rPr>
            </w:pPr>
            <w:r w:rsidRPr="00873F35">
              <w:rPr>
                <w:bCs/>
                <w:sz w:val="18"/>
                <w:szCs w:val="18"/>
              </w:rPr>
              <w:t>46.50</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4296A92" w14:textId="77777777" w:rsidR="00F93097" w:rsidRPr="00873F35" w:rsidRDefault="00F93097">
            <w:pPr>
              <w:pStyle w:val="BodyTextGrey"/>
              <w:spacing w:before="0" w:after="0"/>
              <w:jc w:val="center"/>
              <w:rPr>
                <w:bCs/>
                <w:sz w:val="18"/>
                <w:szCs w:val="18"/>
              </w:rPr>
            </w:pPr>
            <w:r w:rsidRPr="00873F35">
              <w:rPr>
                <w:bCs/>
                <w:sz w:val="18"/>
                <w:szCs w:val="18"/>
              </w:rPr>
              <w:t>104.62</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3EA0C07" w14:textId="77777777" w:rsidR="00F93097" w:rsidRPr="00873F35" w:rsidRDefault="00F93097">
            <w:pPr>
              <w:pStyle w:val="BodyTextGrey"/>
              <w:spacing w:before="0" w:after="0"/>
              <w:jc w:val="center"/>
              <w:rPr>
                <w:bCs/>
                <w:sz w:val="18"/>
                <w:szCs w:val="18"/>
              </w:rPr>
            </w:pPr>
            <w:r w:rsidRPr="00873F35">
              <w:rPr>
                <w:bCs/>
                <w:sz w:val="18"/>
                <w:szCs w:val="18"/>
              </w:rPr>
              <w:t>0.99</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4DC353B" w14:textId="77777777" w:rsidR="00F93097" w:rsidRPr="00873F35" w:rsidRDefault="00F93097">
            <w:pPr>
              <w:pStyle w:val="BodyTextGrey"/>
              <w:spacing w:before="0" w:after="0"/>
              <w:jc w:val="center"/>
              <w:rPr>
                <w:bCs/>
                <w:sz w:val="18"/>
                <w:szCs w:val="18"/>
              </w:rPr>
            </w:pPr>
            <w:r w:rsidRPr="00873F35">
              <w:rPr>
                <w:bCs/>
                <w:sz w:val="18"/>
                <w:szCs w:val="18"/>
              </w:rPr>
              <w:t>0.51</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EF2D401" w14:textId="77777777" w:rsidR="00F93097" w:rsidRPr="00873F35" w:rsidRDefault="00F93097">
            <w:pPr>
              <w:pStyle w:val="BodyTextGrey"/>
              <w:spacing w:before="0" w:after="0"/>
              <w:jc w:val="center"/>
              <w:rPr>
                <w:bCs/>
                <w:sz w:val="18"/>
                <w:szCs w:val="18"/>
              </w:rPr>
            </w:pPr>
            <w:r w:rsidRPr="00873F35">
              <w:rPr>
                <w:bCs/>
                <w:sz w:val="18"/>
                <w:szCs w:val="18"/>
              </w:rPr>
              <w:t>1.09</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4BBED5A" w14:textId="77777777" w:rsidR="00F93097" w:rsidRPr="00873F35" w:rsidRDefault="00F93097">
            <w:pPr>
              <w:pStyle w:val="BodyTextGrey"/>
              <w:spacing w:before="0" w:after="0"/>
              <w:jc w:val="center"/>
              <w:rPr>
                <w:bCs/>
                <w:sz w:val="18"/>
                <w:szCs w:val="18"/>
              </w:rPr>
            </w:pPr>
            <w:r w:rsidRPr="00873F35">
              <w:rPr>
                <w:bCs/>
                <w:sz w:val="18"/>
                <w:szCs w:val="18"/>
              </w:rPr>
              <w:t>0.49</w:t>
            </w:r>
          </w:p>
        </w:tc>
      </w:tr>
      <w:tr w:rsidR="00F93097" w:rsidRPr="00873F35" w14:paraId="362E394E"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3176150D" w14:textId="77777777" w:rsidR="00F93097" w:rsidRPr="00873F35" w:rsidRDefault="00F93097">
            <w:pPr>
              <w:pStyle w:val="BodyTextGrey"/>
              <w:spacing w:before="0" w:after="0"/>
              <w:jc w:val="center"/>
              <w:rPr>
                <w:bCs/>
                <w:sz w:val="18"/>
                <w:szCs w:val="18"/>
              </w:rPr>
            </w:pPr>
            <w:r w:rsidRPr="00873F35">
              <w:rPr>
                <w:bCs/>
                <w:sz w:val="18"/>
                <w:szCs w:val="18"/>
              </w:rPr>
              <w:t>50</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1A1262C6" w14:textId="77777777" w:rsidR="00F93097" w:rsidRPr="00873F35" w:rsidRDefault="00F93097">
            <w:pPr>
              <w:pStyle w:val="BodyTextGrey"/>
              <w:spacing w:before="0" w:after="0"/>
              <w:jc w:val="center"/>
              <w:rPr>
                <w:bCs/>
                <w:sz w:val="18"/>
                <w:szCs w:val="18"/>
              </w:rPr>
            </w:pPr>
            <w:r w:rsidRPr="00873F35">
              <w:rPr>
                <w:bCs/>
                <w:sz w:val="18"/>
                <w:szCs w:val="18"/>
              </w:rPr>
              <w:t>174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E64119B" w14:textId="77777777" w:rsidR="00F93097" w:rsidRPr="00873F35" w:rsidRDefault="00F93097">
            <w:pPr>
              <w:pStyle w:val="BodyTextGrey"/>
              <w:spacing w:before="0" w:after="0"/>
              <w:jc w:val="center"/>
              <w:rPr>
                <w:bCs/>
                <w:sz w:val="18"/>
                <w:szCs w:val="18"/>
              </w:rPr>
            </w:pPr>
            <w:r w:rsidRPr="00873F35">
              <w:rPr>
                <w:bCs/>
                <w:sz w:val="18"/>
                <w:szCs w:val="18"/>
              </w:rPr>
              <w:t>1.37</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00452AE" w14:textId="77777777" w:rsidR="00F93097" w:rsidRPr="00873F35" w:rsidRDefault="00F93097">
            <w:pPr>
              <w:pStyle w:val="BodyTextGrey"/>
              <w:spacing w:before="0" w:after="0"/>
              <w:jc w:val="center"/>
              <w:rPr>
                <w:bCs/>
                <w:sz w:val="18"/>
                <w:szCs w:val="18"/>
              </w:rPr>
            </w:pPr>
            <w:r w:rsidRPr="00873F35">
              <w:rPr>
                <w:bCs/>
                <w:sz w:val="18"/>
                <w:szCs w:val="18"/>
              </w:rPr>
              <w:t>36.02</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0E4C236" w14:textId="77777777" w:rsidR="00F93097" w:rsidRPr="00873F35" w:rsidRDefault="00F93097">
            <w:pPr>
              <w:pStyle w:val="BodyTextGrey"/>
              <w:spacing w:before="0" w:after="0"/>
              <w:jc w:val="center"/>
              <w:rPr>
                <w:bCs/>
                <w:sz w:val="18"/>
                <w:szCs w:val="18"/>
              </w:rPr>
            </w:pPr>
            <w:r w:rsidRPr="00873F35">
              <w:rPr>
                <w:bCs/>
                <w:sz w:val="18"/>
                <w:szCs w:val="18"/>
              </w:rPr>
              <w:t>81.04</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2FB8C21" w14:textId="77777777" w:rsidR="00F93097" w:rsidRPr="00873F35" w:rsidRDefault="00F93097">
            <w:pPr>
              <w:pStyle w:val="BodyTextGrey"/>
              <w:spacing w:before="0" w:after="0"/>
              <w:jc w:val="center"/>
              <w:rPr>
                <w:bCs/>
                <w:sz w:val="18"/>
                <w:szCs w:val="18"/>
              </w:rPr>
            </w:pPr>
            <w:r w:rsidRPr="00873F35">
              <w:rPr>
                <w:bCs/>
                <w:sz w:val="18"/>
                <w:szCs w:val="18"/>
              </w:rPr>
              <w:t>1.86</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73B80DD" w14:textId="77777777" w:rsidR="00F93097" w:rsidRPr="00873F35" w:rsidRDefault="00F93097">
            <w:pPr>
              <w:pStyle w:val="BodyTextGrey"/>
              <w:spacing w:before="0" w:after="0"/>
              <w:jc w:val="center"/>
              <w:rPr>
                <w:bCs/>
                <w:sz w:val="18"/>
                <w:szCs w:val="18"/>
              </w:rPr>
            </w:pPr>
            <w:r w:rsidRPr="00873F35">
              <w:rPr>
                <w:bCs/>
                <w:sz w:val="18"/>
                <w:szCs w:val="18"/>
              </w:rPr>
              <w:t>1.31</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0CB84F0" w14:textId="77777777" w:rsidR="00F93097" w:rsidRPr="00873F35" w:rsidRDefault="00F93097">
            <w:pPr>
              <w:pStyle w:val="BodyTextGrey"/>
              <w:spacing w:before="0" w:after="0"/>
              <w:jc w:val="center"/>
              <w:rPr>
                <w:bCs/>
                <w:sz w:val="18"/>
                <w:szCs w:val="18"/>
              </w:rPr>
            </w:pPr>
            <w:r w:rsidRPr="00873F35">
              <w:rPr>
                <w:bCs/>
                <w:sz w:val="18"/>
                <w:szCs w:val="18"/>
              </w:rPr>
              <w:t>2.59</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AB7BF2F" w14:textId="77777777" w:rsidR="00F93097" w:rsidRPr="00873F35" w:rsidRDefault="00F93097">
            <w:pPr>
              <w:pStyle w:val="BodyTextGrey"/>
              <w:spacing w:before="0" w:after="0"/>
              <w:jc w:val="center"/>
              <w:rPr>
                <w:bCs/>
                <w:sz w:val="18"/>
                <w:szCs w:val="18"/>
              </w:rPr>
            </w:pPr>
            <w:r w:rsidRPr="00873F35">
              <w:rPr>
                <w:bCs/>
                <w:sz w:val="18"/>
                <w:szCs w:val="18"/>
              </w:rPr>
              <w:t>1.45</w:t>
            </w:r>
          </w:p>
        </w:tc>
      </w:tr>
      <w:tr w:rsidR="00F93097" w:rsidRPr="00873F35" w14:paraId="20B51B9E"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265926E6" w14:textId="77777777" w:rsidR="00F93097" w:rsidRPr="00873F35" w:rsidRDefault="00F93097">
            <w:pPr>
              <w:pStyle w:val="BodyTextGrey"/>
              <w:spacing w:before="0" w:after="0"/>
              <w:jc w:val="center"/>
              <w:rPr>
                <w:bCs/>
                <w:sz w:val="18"/>
                <w:szCs w:val="18"/>
              </w:rPr>
            </w:pPr>
            <w:r w:rsidRPr="00873F35">
              <w:rPr>
                <w:bCs/>
                <w:sz w:val="18"/>
                <w:szCs w:val="18"/>
              </w:rPr>
              <w:t>55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45361CEC" w14:textId="77777777" w:rsidR="00F93097" w:rsidRPr="00873F35" w:rsidRDefault="00F93097">
            <w:pPr>
              <w:pStyle w:val="BodyTextGrey"/>
              <w:spacing w:before="0" w:after="0"/>
              <w:jc w:val="center"/>
              <w:rPr>
                <w:bCs/>
                <w:sz w:val="18"/>
                <w:szCs w:val="18"/>
              </w:rPr>
            </w:pPr>
            <w:r w:rsidRPr="00873F35">
              <w:rPr>
                <w:bCs/>
                <w:sz w:val="18"/>
                <w:szCs w:val="18"/>
              </w:rPr>
              <w:t>179</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8005BA1" w14:textId="77777777" w:rsidR="00F93097" w:rsidRPr="00873F35" w:rsidRDefault="00F93097">
            <w:pPr>
              <w:pStyle w:val="BodyTextGrey"/>
              <w:spacing w:before="0" w:after="0"/>
              <w:jc w:val="center"/>
              <w:rPr>
                <w:bCs/>
                <w:sz w:val="18"/>
                <w:szCs w:val="18"/>
              </w:rPr>
            </w:pPr>
            <w:r w:rsidRPr="00873F35">
              <w:rPr>
                <w:bCs/>
                <w:sz w:val="18"/>
                <w:szCs w:val="18"/>
              </w:rPr>
              <w:t>2.15</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0C81DC8" w14:textId="77777777" w:rsidR="00F93097" w:rsidRPr="00873F35" w:rsidRDefault="00F93097">
            <w:pPr>
              <w:pStyle w:val="BodyTextGrey"/>
              <w:spacing w:before="0" w:after="0"/>
              <w:jc w:val="center"/>
              <w:rPr>
                <w:bCs/>
                <w:sz w:val="18"/>
                <w:szCs w:val="18"/>
              </w:rPr>
            </w:pPr>
            <w:r w:rsidRPr="00873F35">
              <w:rPr>
                <w:bCs/>
                <w:sz w:val="18"/>
                <w:szCs w:val="18"/>
              </w:rPr>
              <w:t>34.60</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82B69E2" w14:textId="77777777" w:rsidR="00F93097" w:rsidRPr="00873F35" w:rsidRDefault="00F93097">
            <w:pPr>
              <w:pStyle w:val="BodyTextGrey"/>
              <w:spacing w:before="0" w:after="0"/>
              <w:jc w:val="center"/>
              <w:rPr>
                <w:bCs/>
                <w:sz w:val="18"/>
                <w:szCs w:val="18"/>
              </w:rPr>
            </w:pPr>
            <w:r w:rsidRPr="00873F35">
              <w:rPr>
                <w:bCs/>
                <w:sz w:val="18"/>
                <w:szCs w:val="18"/>
              </w:rPr>
              <w:t>77.85</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489CFFB" w14:textId="77777777" w:rsidR="00F93097" w:rsidRPr="00873F35" w:rsidRDefault="00F93097">
            <w:pPr>
              <w:pStyle w:val="BodyTextGrey"/>
              <w:spacing w:before="0" w:after="0"/>
              <w:jc w:val="center"/>
              <w:rPr>
                <w:bCs/>
                <w:sz w:val="18"/>
                <w:szCs w:val="18"/>
              </w:rPr>
            </w:pPr>
            <w:r w:rsidRPr="00873F35">
              <w:rPr>
                <w:bCs/>
                <w:sz w:val="18"/>
                <w:szCs w:val="18"/>
              </w:rPr>
              <w:t>5.83</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5FC9198" w14:textId="77777777" w:rsidR="00F93097" w:rsidRPr="00873F35" w:rsidRDefault="00F93097">
            <w:pPr>
              <w:pStyle w:val="BodyTextGrey"/>
              <w:spacing w:before="0" w:after="0"/>
              <w:jc w:val="center"/>
              <w:rPr>
                <w:bCs/>
                <w:sz w:val="18"/>
                <w:szCs w:val="18"/>
              </w:rPr>
            </w:pPr>
            <w:r w:rsidRPr="00873F35">
              <w:rPr>
                <w:bCs/>
                <w:sz w:val="18"/>
                <w:szCs w:val="18"/>
              </w:rPr>
              <w:t>4.52</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56A6403" w14:textId="77777777" w:rsidR="00F93097" w:rsidRPr="00873F35" w:rsidRDefault="00F93097">
            <w:pPr>
              <w:pStyle w:val="BodyTextGrey"/>
              <w:spacing w:before="0" w:after="0"/>
              <w:jc w:val="center"/>
              <w:rPr>
                <w:bCs/>
                <w:sz w:val="18"/>
                <w:szCs w:val="18"/>
              </w:rPr>
            </w:pPr>
            <w:r w:rsidRPr="00873F35">
              <w:rPr>
                <w:bCs/>
                <w:sz w:val="18"/>
                <w:szCs w:val="18"/>
              </w:rPr>
              <w:t>4.67</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D8BA13A" w14:textId="77777777" w:rsidR="00F93097" w:rsidRPr="00873F35" w:rsidRDefault="00F93097">
            <w:pPr>
              <w:pStyle w:val="BodyTextGrey"/>
              <w:spacing w:before="0" w:after="0"/>
              <w:jc w:val="center"/>
              <w:rPr>
                <w:bCs/>
                <w:sz w:val="18"/>
                <w:szCs w:val="18"/>
              </w:rPr>
            </w:pPr>
            <w:r w:rsidRPr="00873F35">
              <w:rPr>
                <w:bCs/>
                <w:sz w:val="18"/>
                <w:szCs w:val="18"/>
              </w:rPr>
              <w:t>3.11</w:t>
            </w:r>
          </w:p>
        </w:tc>
      </w:tr>
      <w:tr w:rsidR="00F93097" w:rsidRPr="00873F35" w14:paraId="6C35BDF7"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5EF14574" w14:textId="77777777" w:rsidR="00F93097" w:rsidRPr="00873F35" w:rsidRDefault="00F93097">
            <w:pPr>
              <w:pStyle w:val="BodyTextGrey"/>
              <w:spacing w:before="0" w:after="0"/>
              <w:jc w:val="center"/>
              <w:rPr>
                <w:bCs/>
                <w:sz w:val="18"/>
                <w:szCs w:val="18"/>
              </w:rPr>
            </w:pPr>
            <w:r w:rsidRPr="00873F35">
              <w:rPr>
                <w:bCs/>
                <w:sz w:val="18"/>
                <w:szCs w:val="18"/>
              </w:rPr>
              <w:t>60</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690250CC" w14:textId="77777777" w:rsidR="00F93097" w:rsidRPr="00873F35" w:rsidRDefault="00F93097">
            <w:pPr>
              <w:pStyle w:val="BodyTextGrey"/>
              <w:spacing w:before="0" w:after="0"/>
              <w:jc w:val="center"/>
              <w:rPr>
                <w:bCs/>
                <w:sz w:val="18"/>
                <w:szCs w:val="18"/>
              </w:rPr>
            </w:pPr>
            <w:r w:rsidRPr="00873F35">
              <w:rPr>
                <w:bCs/>
                <w:sz w:val="18"/>
                <w:szCs w:val="18"/>
              </w:rPr>
              <w:t>184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8E2A443" w14:textId="77777777" w:rsidR="00F93097" w:rsidRPr="00873F35" w:rsidRDefault="00F93097">
            <w:pPr>
              <w:pStyle w:val="BodyTextGrey"/>
              <w:spacing w:before="0" w:after="0"/>
              <w:jc w:val="center"/>
              <w:rPr>
                <w:bCs/>
                <w:sz w:val="18"/>
                <w:szCs w:val="18"/>
              </w:rPr>
            </w:pPr>
            <w:r w:rsidRPr="00873F35">
              <w:rPr>
                <w:bCs/>
                <w:sz w:val="18"/>
                <w:szCs w:val="18"/>
              </w:rPr>
              <w:t>3.86</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9C4655F" w14:textId="77777777" w:rsidR="00F93097" w:rsidRPr="00873F35" w:rsidRDefault="00F93097">
            <w:pPr>
              <w:pStyle w:val="BodyTextGrey"/>
              <w:spacing w:before="0" w:after="0"/>
              <w:jc w:val="center"/>
              <w:rPr>
                <w:bCs/>
                <w:sz w:val="18"/>
                <w:szCs w:val="18"/>
              </w:rPr>
            </w:pPr>
            <w:r w:rsidRPr="00873F35">
              <w:rPr>
                <w:bCs/>
                <w:sz w:val="18"/>
                <w:szCs w:val="18"/>
              </w:rPr>
              <w:t>30.82</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E71CED9" w14:textId="77777777" w:rsidR="00F93097" w:rsidRPr="00873F35" w:rsidRDefault="00F93097">
            <w:pPr>
              <w:pStyle w:val="BodyTextGrey"/>
              <w:spacing w:before="0" w:after="0"/>
              <w:jc w:val="center"/>
              <w:rPr>
                <w:bCs/>
                <w:sz w:val="18"/>
                <w:szCs w:val="18"/>
              </w:rPr>
            </w:pPr>
            <w:r w:rsidRPr="00873F35">
              <w:rPr>
                <w:bCs/>
                <w:sz w:val="18"/>
                <w:szCs w:val="18"/>
              </w:rPr>
              <w:t>69.33</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F190C6F" w14:textId="77777777" w:rsidR="00F93097" w:rsidRPr="00873F35" w:rsidRDefault="00F93097">
            <w:pPr>
              <w:pStyle w:val="BodyTextGrey"/>
              <w:spacing w:before="0" w:after="0"/>
              <w:jc w:val="center"/>
              <w:rPr>
                <w:bCs/>
                <w:sz w:val="18"/>
                <w:szCs w:val="18"/>
              </w:rPr>
            </w:pPr>
            <w:r w:rsidRPr="00873F35">
              <w:rPr>
                <w:bCs/>
                <w:sz w:val="18"/>
                <w:szCs w:val="18"/>
              </w:rPr>
              <w:t>9.91</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EFEE19B" w14:textId="77777777" w:rsidR="00F93097" w:rsidRPr="00873F35" w:rsidRDefault="00F93097">
            <w:pPr>
              <w:pStyle w:val="BodyTextGrey"/>
              <w:spacing w:before="0" w:after="0"/>
              <w:jc w:val="center"/>
              <w:rPr>
                <w:bCs/>
                <w:sz w:val="18"/>
                <w:szCs w:val="18"/>
              </w:rPr>
            </w:pPr>
            <w:r w:rsidRPr="00873F35">
              <w:rPr>
                <w:bCs/>
                <w:sz w:val="18"/>
                <w:szCs w:val="18"/>
              </w:rPr>
              <w:t>6.97</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321C4A2" w14:textId="77777777" w:rsidR="00F93097" w:rsidRPr="00873F35" w:rsidRDefault="00F93097">
            <w:pPr>
              <w:pStyle w:val="BodyTextGrey"/>
              <w:spacing w:before="0" w:after="0"/>
              <w:jc w:val="center"/>
              <w:rPr>
                <w:bCs/>
                <w:sz w:val="18"/>
                <w:szCs w:val="18"/>
              </w:rPr>
            </w:pPr>
            <w:r w:rsidRPr="00873F35">
              <w:rPr>
                <w:bCs/>
                <w:sz w:val="18"/>
                <w:szCs w:val="18"/>
              </w:rPr>
              <w:t>3.87</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1816613" w14:textId="77777777" w:rsidR="00F93097" w:rsidRPr="00873F35" w:rsidRDefault="00F93097">
            <w:pPr>
              <w:pStyle w:val="BodyTextGrey"/>
              <w:spacing w:before="0" w:after="0"/>
              <w:jc w:val="center"/>
              <w:rPr>
                <w:bCs/>
                <w:sz w:val="18"/>
                <w:szCs w:val="18"/>
              </w:rPr>
            </w:pPr>
            <w:r w:rsidRPr="00873F35">
              <w:rPr>
                <w:bCs/>
                <w:sz w:val="18"/>
                <w:szCs w:val="18"/>
              </w:rPr>
              <w:t>2.65</w:t>
            </w:r>
          </w:p>
        </w:tc>
      </w:tr>
      <w:tr w:rsidR="00F93097" w:rsidRPr="00873F35" w14:paraId="7564BB55" w14:textId="77777777">
        <w:trPr>
          <w:trHeight w:val="22"/>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64C5AF7A" w14:textId="77777777" w:rsidR="00F93097" w:rsidRPr="00873F35" w:rsidRDefault="00F93097">
            <w:pPr>
              <w:pStyle w:val="BodyTextGrey"/>
              <w:spacing w:before="0" w:after="0"/>
              <w:jc w:val="center"/>
              <w:rPr>
                <w:bCs/>
                <w:sz w:val="18"/>
                <w:szCs w:val="18"/>
              </w:rPr>
            </w:pPr>
            <w:r w:rsidRPr="00873F35">
              <w:rPr>
                <w:bCs/>
                <w:sz w:val="18"/>
                <w:szCs w:val="18"/>
              </w:rPr>
              <w:t>65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0EE9DA2D" w14:textId="77777777" w:rsidR="00F93097" w:rsidRPr="00873F35" w:rsidRDefault="00F93097">
            <w:pPr>
              <w:pStyle w:val="BodyTextGrey"/>
              <w:spacing w:before="0" w:after="0"/>
              <w:jc w:val="center"/>
              <w:rPr>
                <w:bCs/>
                <w:sz w:val="18"/>
                <w:szCs w:val="18"/>
              </w:rPr>
            </w:pPr>
            <w:r w:rsidRPr="00873F35">
              <w:rPr>
                <w:bCs/>
                <w:sz w:val="18"/>
                <w:szCs w:val="18"/>
              </w:rPr>
              <w:t>185</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C63B7AE" w14:textId="77777777" w:rsidR="00F93097" w:rsidRPr="00873F35" w:rsidRDefault="00F93097">
            <w:pPr>
              <w:pStyle w:val="BodyTextGrey"/>
              <w:spacing w:before="0" w:after="0"/>
              <w:jc w:val="center"/>
              <w:rPr>
                <w:bCs/>
                <w:sz w:val="18"/>
                <w:szCs w:val="18"/>
              </w:rPr>
            </w:pPr>
            <w:r w:rsidRPr="00873F35">
              <w:rPr>
                <w:bCs/>
                <w:sz w:val="18"/>
                <w:szCs w:val="18"/>
              </w:rPr>
              <w:t>6.44</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88A650D" w14:textId="77777777" w:rsidR="00F93097" w:rsidRPr="00873F35" w:rsidRDefault="00F93097">
            <w:pPr>
              <w:pStyle w:val="BodyTextGrey"/>
              <w:spacing w:before="0" w:after="0"/>
              <w:jc w:val="center"/>
              <w:rPr>
                <w:bCs/>
                <w:sz w:val="18"/>
                <w:szCs w:val="18"/>
              </w:rPr>
            </w:pPr>
            <w:r w:rsidRPr="00873F35">
              <w:rPr>
                <w:bCs/>
                <w:sz w:val="18"/>
                <w:szCs w:val="18"/>
              </w:rPr>
              <w:t>0</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0539191" w14:textId="77777777" w:rsidR="00F93097" w:rsidRPr="00873F35" w:rsidRDefault="00F93097">
            <w:pPr>
              <w:pStyle w:val="BodyTextGrey"/>
              <w:spacing w:before="0" w:after="0"/>
              <w:jc w:val="center"/>
              <w:rPr>
                <w:bCs/>
                <w:sz w:val="18"/>
                <w:szCs w:val="18"/>
              </w:rPr>
            </w:pPr>
            <w:r w:rsidRPr="00873F35">
              <w:rPr>
                <w:bCs/>
                <w:sz w:val="18"/>
                <w:szCs w:val="18"/>
              </w:rPr>
              <w:t>0</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1044C75" w14:textId="77777777" w:rsidR="00F93097" w:rsidRPr="00873F35" w:rsidRDefault="00F93097">
            <w:pPr>
              <w:pStyle w:val="BodyTextGrey"/>
              <w:spacing w:before="0" w:after="0"/>
              <w:jc w:val="center"/>
              <w:rPr>
                <w:bCs/>
                <w:sz w:val="18"/>
                <w:szCs w:val="18"/>
              </w:rPr>
            </w:pPr>
            <w:r w:rsidRPr="00873F35">
              <w:rPr>
                <w:bCs/>
                <w:sz w:val="18"/>
                <w:szCs w:val="18"/>
              </w:rPr>
              <w:t>18.92</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CF5E3BF" w14:textId="77777777" w:rsidR="00F93097" w:rsidRPr="00873F35" w:rsidRDefault="00F93097">
            <w:pPr>
              <w:pStyle w:val="BodyTextGrey"/>
              <w:spacing w:before="0" w:after="0"/>
              <w:jc w:val="center"/>
              <w:rPr>
                <w:bCs/>
                <w:sz w:val="18"/>
                <w:szCs w:val="18"/>
              </w:rPr>
            </w:pPr>
            <w:r w:rsidRPr="00873F35">
              <w:rPr>
                <w:bCs/>
                <w:sz w:val="18"/>
                <w:szCs w:val="18"/>
              </w:rPr>
              <w:t>13.49</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02ED58D" w14:textId="77777777" w:rsidR="00F93097" w:rsidRPr="00873F35" w:rsidRDefault="00F93097">
            <w:pPr>
              <w:pStyle w:val="BodyTextGrey"/>
              <w:spacing w:before="0" w:after="0"/>
              <w:jc w:val="center"/>
              <w:rPr>
                <w:bCs/>
                <w:sz w:val="18"/>
                <w:szCs w:val="18"/>
              </w:rPr>
            </w:pPr>
            <w:r w:rsidRPr="00873F35">
              <w:rPr>
                <w:bCs/>
                <w:sz w:val="18"/>
                <w:szCs w:val="18"/>
              </w:rPr>
              <w:t>0</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FC360C9" w14:textId="77777777" w:rsidR="00F93097" w:rsidRPr="00873F35" w:rsidRDefault="00F93097">
            <w:pPr>
              <w:pStyle w:val="BodyTextGrey"/>
              <w:spacing w:before="0" w:after="0"/>
              <w:jc w:val="center"/>
              <w:rPr>
                <w:bCs/>
                <w:sz w:val="18"/>
                <w:szCs w:val="18"/>
              </w:rPr>
            </w:pPr>
            <w:r w:rsidRPr="00873F35">
              <w:rPr>
                <w:bCs/>
                <w:sz w:val="18"/>
                <w:szCs w:val="18"/>
              </w:rPr>
              <w:t>0</w:t>
            </w:r>
          </w:p>
        </w:tc>
      </w:tr>
    </w:tbl>
    <w:p w14:paraId="55E244B0" w14:textId="77777777" w:rsidR="00F93097" w:rsidRDefault="00F93097" w:rsidP="00F93097">
      <w:pPr>
        <w:pStyle w:val="BodyTextGrey"/>
        <w:rPr>
          <w:rStyle w:val="Heading4Char"/>
          <w:iCs/>
          <w:color w:val="5B9BD5" w:themeColor="accent5"/>
          <w:highlight w:val="yellow"/>
        </w:rPr>
      </w:pPr>
    </w:p>
    <w:p w14:paraId="3E01C35D" w14:textId="1E414923" w:rsidR="00F93097" w:rsidRPr="007A3DEF" w:rsidRDefault="00F93097" w:rsidP="007A3DEF">
      <w:pPr>
        <w:pStyle w:val="Heading4"/>
        <w:rPr>
          <w:color w:val="5B9BD5" w:themeColor="accent5"/>
          <w:highlight w:val="yellow"/>
        </w:rPr>
      </w:pPr>
      <w:bookmarkStart w:id="103" w:name="_Toc86162892"/>
      <w:r w:rsidRPr="00DB668C">
        <w:t>Females</w:t>
      </w:r>
      <w:bookmarkEnd w:id="103"/>
    </w:p>
    <w:tbl>
      <w:tblPr>
        <w:tblW w:w="10055" w:type="dxa"/>
        <w:tblCellMar>
          <w:left w:w="0" w:type="dxa"/>
          <w:right w:w="0" w:type="dxa"/>
        </w:tblCellMar>
        <w:tblLook w:val="0420" w:firstRow="1" w:lastRow="0" w:firstColumn="0" w:lastColumn="0" w:noHBand="0" w:noVBand="1"/>
      </w:tblPr>
      <w:tblGrid>
        <w:gridCol w:w="946"/>
        <w:gridCol w:w="974"/>
        <w:gridCol w:w="1472"/>
        <w:gridCol w:w="1149"/>
        <w:gridCol w:w="1112"/>
        <w:gridCol w:w="1110"/>
        <w:gridCol w:w="1098"/>
        <w:gridCol w:w="1109"/>
        <w:gridCol w:w="1085"/>
      </w:tblGrid>
      <w:tr w:rsidR="00F93097" w:rsidRPr="00C64153" w14:paraId="67EC41D6" w14:textId="77777777">
        <w:trPr>
          <w:trHeight w:val="262"/>
        </w:trPr>
        <w:tc>
          <w:tcPr>
            <w:tcW w:w="10055" w:type="dxa"/>
            <w:gridSpan w:val="9"/>
            <w:tcBorders>
              <w:top w:val="nil"/>
              <w:left w:val="single" w:sz="8" w:space="0" w:color="D9D9D9"/>
              <w:right w:val="single" w:sz="8" w:space="0" w:color="D9D9D9"/>
            </w:tcBorders>
            <w:shd w:val="clear" w:color="auto" w:fill="5B9BD5" w:themeFill="accent5"/>
            <w:tcMar>
              <w:top w:w="58" w:type="dxa"/>
              <w:left w:w="116" w:type="dxa"/>
              <w:bottom w:w="58" w:type="dxa"/>
              <w:right w:w="116" w:type="dxa"/>
            </w:tcMar>
            <w:vAlign w:val="center"/>
          </w:tcPr>
          <w:p w14:paraId="64B0A664" w14:textId="77777777" w:rsidR="00F93097" w:rsidRPr="00C64153" w:rsidRDefault="00F93097">
            <w:pPr>
              <w:pStyle w:val="BodyTextGrey"/>
              <w:spacing w:before="0" w:after="0"/>
              <w:jc w:val="center"/>
              <w:rPr>
                <w:b/>
                <w:bCs/>
                <w:sz w:val="18"/>
                <w:szCs w:val="18"/>
                <w:highlight w:val="yellow"/>
              </w:rPr>
            </w:pPr>
            <w:r w:rsidRPr="00C64153">
              <w:rPr>
                <w:b/>
                <w:bCs/>
                <w:color w:val="000000" w:themeColor="text1"/>
                <w:sz w:val="18"/>
                <w:szCs w:val="18"/>
              </w:rPr>
              <w:t>Incidence per 1000 active members per year (excluding salary scale)</w:t>
            </w:r>
          </w:p>
        </w:tc>
      </w:tr>
      <w:tr w:rsidR="00F93097" w:rsidRPr="00C64153" w14:paraId="5AD8BEDA" w14:textId="77777777">
        <w:trPr>
          <w:trHeight w:val="262"/>
        </w:trPr>
        <w:tc>
          <w:tcPr>
            <w:tcW w:w="946" w:type="dxa"/>
            <w:tcBorders>
              <w:top w:val="nil"/>
              <w:left w:val="single" w:sz="8" w:space="0" w:color="D9D9D9"/>
            </w:tcBorders>
            <w:shd w:val="clear" w:color="auto" w:fill="9CC2E5" w:themeFill="accent5" w:themeFillTint="99"/>
            <w:tcMar>
              <w:top w:w="58" w:type="dxa"/>
              <w:left w:w="116" w:type="dxa"/>
              <w:bottom w:w="58" w:type="dxa"/>
              <w:right w:w="116" w:type="dxa"/>
            </w:tcMar>
            <w:vAlign w:val="center"/>
          </w:tcPr>
          <w:p w14:paraId="6DA6A414" w14:textId="77777777" w:rsidR="00F93097" w:rsidRPr="00C64153" w:rsidRDefault="00F93097">
            <w:pPr>
              <w:pStyle w:val="BodyTextGrey"/>
              <w:spacing w:before="0" w:after="0"/>
              <w:jc w:val="center"/>
              <w:rPr>
                <w:b/>
                <w:color w:val="000000" w:themeColor="text1"/>
                <w:sz w:val="18"/>
                <w:szCs w:val="18"/>
              </w:rPr>
            </w:pPr>
            <w:r w:rsidRPr="00C64153">
              <w:rPr>
                <w:b/>
                <w:color w:val="000000" w:themeColor="text1"/>
                <w:sz w:val="18"/>
                <w:szCs w:val="18"/>
              </w:rPr>
              <w:t>Age</w:t>
            </w:r>
          </w:p>
        </w:tc>
        <w:tc>
          <w:tcPr>
            <w:tcW w:w="974" w:type="dxa"/>
            <w:tcBorders>
              <w:top w:val="nil"/>
            </w:tcBorders>
            <w:shd w:val="clear" w:color="auto" w:fill="9CC2E5" w:themeFill="accent5" w:themeFillTint="99"/>
            <w:tcMar>
              <w:top w:w="58" w:type="dxa"/>
              <w:left w:w="116" w:type="dxa"/>
              <w:bottom w:w="58" w:type="dxa"/>
              <w:right w:w="116" w:type="dxa"/>
            </w:tcMar>
            <w:vAlign w:val="center"/>
          </w:tcPr>
          <w:p w14:paraId="2CF17E57" w14:textId="77777777" w:rsidR="00F93097" w:rsidRPr="00C64153" w:rsidRDefault="00F93097">
            <w:pPr>
              <w:pStyle w:val="BodyTextGrey"/>
              <w:spacing w:before="0" w:after="0"/>
              <w:jc w:val="center"/>
              <w:rPr>
                <w:b/>
                <w:color w:val="000000" w:themeColor="text1"/>
                <w:sz w:val="18"/>
                <w:szCs w:val="18"/>
              </w:rPr>
            </w:pPr>
            <w:r w:rsidRPr="00C64153">
              <w:rPr>
                <w:b/>
                <w:color w:val="000000" w:themeColor="text1"/>
                <w:sz w:val="18"/>
                <w:szCs w:val="18"/>
              </w:rPr>
              <w:t>Salary scale</w:t>
            </w:r>
          </w:p>
        </w:tc>
        <w:tc>
          <w:tcPr>
            <w:tcW w:w="1472" w:type="dxa"/>
            <w:tcBorders>
              <w:top w:val="nil"/>
            </w:tcBorders>
            <w:shd w:val="clear" w:color="auto" w:fill="9CC2E5" w:themeFill="accent5" w:themeFillTint="99"/>
            <w:tcMar>
              <w:top w:w="58" w:type="dxa"/>
              <w:left w:w="116" w:type="dxa"/>
              <w:bottom w:w="58" w:type="dxa"/>
              <w:right w:w="116" w:type="dxa"/>
            </w:tcMar>
            <w:vAlign w:val="center"/>
          </w:tcPr>
          <w:p w14:paraId="478898CF" w14:textId="77777777" w:rsidR="00F93097" w:rsidRPr="00C64153" w:rsidRDefault="00F93097">
            <w:pPr>
              <w:pStyle w:val="BodyTextGrey"/>
              <w:spacing w:before="0" w:after="0"/>
              <w:jc w:val="center"/>
              <w:rPr>
                <w:b/>
                <w:bCs/>
                <w:color w:val="000000" w:themeColor="text1"/>
                <w:sz w:val="18"/>
                <w:szCs w:val="18"/>
              </w:rPr>
            </w:pPr>
            <w:r w:rsidRPr="00C64153">
              <w:rPr>
                <w:b/>
                <w:bCs/>
                <w:color w:val="000000" w:themeColor="text1"/>
                <w:sz w:val="18"/>
                <w:szCs w:val="18"/>
              </w:rPr>
              <w:t>Death before retirement</w:t>
            </w:r>
          </w:p>
        </w:tc>
        <w:tc>
          <w:tcPr>
            <w:tcW w:w="2261" w:type="dxa"/>
            <w:gridSpan w:val="2"/>
            <w:tcBorders>
              <w:top w:val="nil"/>
            </w:tcBorders>
            <w:shd w:val="clear" w:color="auto" w:fill="9CC2E5" w:themeFill="accent5" w:themeFillTint="99"/>
            <w:tcMar>
              <w:top w:w="58" w:type="dxa"/>
              <w:left w:w="116" w:type="dxa"/>
              <w:bottom w:w="58" w:type="dxa"/>
              <w:right w:w="116" w:type="dxa"/>
            </w:tcMar>
            <w:vAlign w:val="center"/>
          </w:tcPr>
          <w:p w14:paraId="5E5B28CB" w14:textId="77777777" w:rsidR="00F93097" w:rsidRPr="00C64153" w:rsidRDefault="00F93097">
            <w:pPr>
              <w:pStyle w:val="BodyTextGrey"/>
              <w:spacing w:before="0" w:after="0"/>
              <w:jc w:val="center"/>
              <w:rPr>
                <w:b/>
                <w:bCs/>
                <w:color w:val="000000" w:themeColor="text1"/>
                <w:sz w:val="18"/>
                <w:szCs w:val="18"/>
              </w:rPr>
            </w:pPr>
            <w:r w:rsidRPr="00C64153">
              <w:rPr>
                <w:b/>
                <w:bCs/>
                <w:color w:val="000000" w:themeColor="text1"/>
                <w:sz w:val="18"/>
                <w:szCs w:val="18"/>
              </w:rPr>
              <w:t>Withdrawals</w:t>
            </w:r>
          </w:p>
        </w:tc>
        <w:tc>
          <w:tcPr>
            <w:tcW w:w="2208" w:type="dxa"/>
            <w:gridSpan w:val="2"/>
            <w:tcBorders>
              <w:top w:val="nil"/>
            </w:tcBorders>
            <w:shd w:val="clear" w:color="auto" w:fill="9CC2E5" w:themeFill="accent5" w:themeFillTint="99"/>
            <w:tcMar>
              <w:top w:w="58" w:type="dxa"/>
              <w:left w:w="116" w:type="dxa"/>
              <w:bottom w:w="58" w:type="dxa"/>
              <w:right w:w="116" w:type="dxa"/>
            </w:tcMar>
            <w:vAlign w:val="center"/>
          </w:tcPr>
          <w:p w14:paraId="6A38EDA7" w14:textId="77777777" w:rsidR="00F93097" w:rsidRPr="00C64153" w:rsidRDefault="00F93097">
            <w:pPr>
              <w:pStyle w:val="BodyTextGrey"/>
              <w:spacing w:before="0" w:after="0"/>
              <w:jc w:val="center"/>
              <w:rPr>
                <w:b/>
                <w:bCs/>
                <w:color w:val="000000" w:themeColor="text1"/>
                <w:sz w:val="18"/>
                <w:szCs w:val="18"/>
              </w:rPr>
            </w:pPr>
            <w:r w:rsidRPr="00C64153">
              <w:rPr>
                <w:b/>
                <w:bCs/>
                <w:color w:val="000000" w:themeColor="text1"/>
                <w:sz w:val="18"/>
                <w:szCs w:val="18"/>
              </w:rPr>
              <w:t>Ill-health tier 1</w:t>
            </w:r>
          </w:p>
        </w:tc>
        <w:tc>
          <w:tcPr>
            <w:tcW w:w="2194" w:type="dxa"/>
            <w:gridSpan w:val="2"/>
            <w:tcBorders>
              <w:top w:val="nil"/>
              <w:right w:val="single" w:sz="8" w:space="0" w:color="D9D9D9"/>
            </w:tcBorders>
            <w:shd w:val="clear" w:color="auto" w:fill="9CC2E5" w:themeFill="accent5" w:themeFillTint="99"/>
            <w:tcMar>
              <w:top w:w="58" w:type="dxa"/>
              <w:left w:w="116" w:type="dxa"/>
              <w:bottom w:w="58" w:type="dxa"/>
              <w:right w:w="116" w:type="dxa"/>
            </w:tcMar>
            <w:vAlign w:val="center"/>
          </w:tcPr>
          <w:p w14:paraId="25020DD1" w14:textId="77777777" w:rsidR="00F93097" w:rsidRPr="00C64153" w:rsidRDefault="00F93097">
            <w:pPr>
              <w:pStyle w:val="BodyTextGrey"/>
              <w:spacing w:before="0" w:after="0"/>
              <w:jc w:val="center"/>
              <w:rPr>
                <w:b/>
                <w:bCs/>
                <w:color w:val="000000" w:themeColor="text1"/>
                <w:sz w:val="18"/>
                <w:szCs w:val="18"/>
              </w:rPr>
            </w:pPr>
            <w:r w:rsidRPr="00C64153">
              <w:rPr>
                <w:b/>
                <w:bCs/>
                <w:color w:val="000000" w:themeColor="text1"/>
                <w:sz w:val="18"/>
                <w:szCs w:val="18"/>
              </w:rPr>
              <w:t>Ill-health tier 2</w:t>
            </w:r>
          </w:p>
        </w:tc>
      </w:tr>
      <w:tr w:rsidR="00F93097" w:rsidRPr="00EC12C2" w14:paraId="75A13E1E" w14:textId="77777777">
        <w:trPr>
          <w:trHeight w:val="262"/>
        </w:trPr>
        <w:tc>
          <w:tcPr>
            <w:tcW w:w="946" w:type="dxa"/>
            <w:tcBorders>
              <w:left w:val="single" w:sz="8" w:space="0" w:color="D9D9D9"/>
            </w:tcBorders>
            <w:shd w:val="clear" w:color="auto" w:fill="DEEAF6" w:themeFill="accent5" w:themeFillTint="33"/>
            <w:tcMar>
              <w:top w:w="58" w:type="dxa"/>
              <w:left w:w="116" w:type="dxa"/>
              <w:bottom w:w="58" w:type="dxa"/>
              <w:right w:w="116" w:type="dxa"/>
            </w:tcMar>
            <w:vAlign w:val="center"/>
            <w:hideMark/>
          </w:tcPr>
          <w:p w14:paraId="481E8650" w14:textId="77777777" w:rsidR="00F93097" w:rsidRPr="00C64153" w:rsidRDefault="00F93097">
            <w:pPr>
              <w:pStyle w:val="BodyTextGrey"/>
              <w:spacing w:before="0" w:after="0"/>
              <w:rPr>
                <w:sz w:val="18"/>
                <w:szCs w:val="18"/>
              </w:rPr>
            </w:pPr>
          </w:p>
        </w:tc>
        <w:tc>
          <w:tcPr>
            <w:tcW w:w="974" w:type="dxa"/>
            <w:shd w:val="clear" w:color="auto" w:fill="DEEAF6" w:themeFill="accent5" w:themeFillTint="33"/>
            <w:tcMar>
              <w:top w:w="58" w:type="dxa"/>
              <w:left w:w="116" w:type="dxa"/>
              <w:bottom w:w="58" w:type="dxa"/>
              <w:right w:w="116" w:type="dxa"/>
            </w:tcMar>
            <w:vAlign w:val="center"/>
            <w:hideMark/>
          </w:tcPr>
          <w:p w14:paraId="56139216" w14:textId="77777777" w:rsidR="00F93097" w:rsidRPr="00C64153" w:rsidRDefault="00F93097">
            <w:pPr>
              <w:pStyle w:val="BodyTextGrey"/>
              <w:spacing w:before="0" w:after="0"/>
              <w:rPr>
                <w:sz w:val="18"/>
                <w:szCs w:val="18"/>
              </w:rPr>
            </w:pPr>
          </w:p>
        </w:tc>
        <w:tc>
          <w:tcPr>
            <w:tcW w:w="1472" w:type="dxa"/>
            <w:shd w:val="clear" w:color="auto" w:fill="DEEAF6" w:themeFill="accent5" w:themeFillTint="33"/>
            <w:tcMar>
              <w:top w:w="58" w:type="dxa"/>
              <w:left w:w="116" w:type="dxa"/>
              <w:bottom w:w="58" w:type="dxa"/>
              <w:right w:w="116" w:type="dxa"/>
            </w:tcMar>
            <w:vAlign w:val="center"/>
            <w:hideMark/>
          </w:tcPr>
          <w:p w14:paraId="47D84CD4" w14:textId="77777777" w:rsidR="00F93097" w:rsidRPr="00C64153" w:rsidRDefault="00F93097">
            <w:pPr>
              <w:pStyle w:val="BodyTextGrey"/>
              <w:spacing w:before="0" w:after="0"/>
              <w:jc w:val="center"/>
              <w:rPr>
                <w:sz w:val="18"/>
                <w:szCs w:val="18"/>
              </w:rPr>
            </w:pPr>
            <w:r w:rsidRPr="00C64153">
              <w:rPr>
                <w:sz w:val="18"/>
                <w:szCs w:val="18"/>
              </w:rPr>
              <w:t>FT &amp; PT</w:t>
            </w:r>
          </w:p>
        </w:tc>
        <w:tc>
          <w:tcPr>
            <w:tcW w:w="1149" w:type="dxa"/>
            <w:shd w:val="clear" w:color="auto" w:fill="DEEAF6" w:themeFill="accent5" w:themeFillTint="33"/>
            <w:tcMar>
              <w:top w:w="58" w:type="dxa"/>
              <w:left w:w="116" w:type="dxa"/>
              <w:bottom w:w="58" w:type="dxa"/>
              <w:right w:w="116" w:type="dxa"/>
            </w:tcMar>
            <w:vAlign w:val="center"/>
            <w:hideMark/>
          </w:tcPr>
          <w:p w14:paraId="50083E00" w14:textId="77777777" w:rsidR="00F93097" w:rsidRPr="00C64153" w:rsidRDefault="00F93097">
            <w:pPr>
              <w:pStyle w:val="BodyTextGrey"/>
              <w:spacing w:before="0" w:after="0"/>
              <w:jc w:val="center"/>
              <w:rPr>
                <w:sz w:val="18"/>
                <w:szCs w:val="18"/>
              </w:rPr>
            </w:pPr>
            <w:r w:rsidRPr="00C64153">
              <w:rPr>
                <w:sz w:val="18"/>
                <w:szCs w:val="18"/>
              </w:rPr>
              <w:t>FT</w:t>
            </w:r>
          </w:p>
        </w:tc>
        <w:tc>
          <w:tcPr>
            <w:tcW w:w="1112" w:type="dxa"/>
            <w:shd w:val="clear" w:color="auto" w:fill="DEEAF6" w:themeFill="accent5" w:themeFillTint="33"/>
            <w:tcMar>
              <w:top w:w="58" w:type="dxa"/>
              <w:left w:w="116" w:type="dxa"/>
              <w:bottom w:w="58" w:type="dxa"/>
              <w:right w:w="116" w:type="dxa"/>
            </w:tcMar>
            <w:vAlign w:val="center"/>
            <w:hideMark/>
          </w:tcPr>
          <w:p w14:paraId="673F6FCC" w14:textId="77777777" w:rsidR="00F93097" w:rsidRPr="00C64153" w:rsidRDefault="00F93097">
            <w:pPr>
              <w:pStyle w:val="BodyTextGrey"/>
              <w:spacing w:before="0" w:after="0"/>
              <w:jc w:val="center"/>
              <w:rPr>
                <w:sz w:val="18"/>
                <w:szCs w:val="18"/>
              </w:rPr>
            </w:pPr>
            <w:r w:rsidRPr="00C64153">
              <w:rPr>
                <w:sz w:val="18"/>
                <w:szCs w:val="18"/>
              </w:rPr>
              <w:t>PT</w:t>
            </w:r>
          </w:p>
        </w:tc>
        <w:tc>
          <w:tcPr>
            <w:tcW w:w="1110" w:type="dxa"/>
            <w:shd w:val="clear" w:color="auto" w:fill="DEEAF6" w:themeFill="accent5" w:themeFillTint="33"/>
            <w:tcMar>
              <w:top w:w="58" w:type="dxa"/>
              <w:left w:w="116" w:type="dxa"/>
              <w:bottom w:w="58" w:type="dxa"/>
              <w:right w:w="116" w:type="dxa"/>
            </w:tcMar>
            <w:vAlign w:val="center"/>
            <w:hideMark/>
          </w:tcPr>
          <w:p w14:paraId="07B0D13C" w14:textId="77777777" w:rsidR="00F93097" w:rsidRPr="00C64153" w:rsidRDefault="00F93097">
            <w:pPr>
              <w:pStyle w:val="BodyTextGrey"/>
              <w:spacing w:before="0" w:after="0"/>
              <w:jc w:val="center"/>
              <w:rPr>
                <w:sz w:val="18"/>
                <w:szCs w:val="18"/>
              </w:rPr>
            </w:pPr>
            <w:r w:rsidRPr="00C64153">
              <w:rPr>
                <w:sz w:val="18"/>
                <w:szCs w:val="18"/>
              </w:rPr>
              <w:t>FT</w:t>
            </w:r>
          </w:p>
        </w:tc>
        <w:tc>
          <w:tcPr>
            <w:tcW w:w="1098" w:type="dxa"/>
            <w:shd w:val="clear" w:color="auto" w:fill="DEEAF6" w:themeFill="accent5" w:themeFillTint="33"/>
            <w:tcMar>
              <w:top w:w="58" w:type="dxa"/>
              <w:left w:w="116" w:type="dxa"/>
              <w:bottom w:w="58" w:type="dxa"/>
              <w:right w:w="116" w:type="dxa"/>
            </w:tcMar>
            <w:vAlign w:val="center"/>
            <w:hideMark/>
          </w:tcPr>
          <w:p w14:paraId="2557A265" w14:textId="77777777" w:rsidR="00F93097" w:rsidRPr="00C64153" w:rsidRDefault="00F93097">
            <w:pPr>
              <w:pStyle w:val="BodyTextGrey"/>
              <w:spacing w:before="0" w:after="0"/>
              <w:jc w:val="center"/>
              <w:rPr>
                <w:sz w:val="18"/>
                <w:szCs w:val="18"/>
              </w:rPr>
            </w:pPr>
            <w:r w:rsidRPr="00C64153">
              <w:rPr>
                <w:sz w:val="18"/>
                <w:szCs w:val="18"/>
              </w:rPr>
              <w:t>PT</w:t>
            </w:r>
          </w:p>
        </w:tc>
        <w:tc>
          <w:tcPr>
            <w:tcW w:w="1109" w:type="dxa"/>
            <w:shd w:val="clear" w:color="auto" w:fill="DEEAF6" w:themeFill="accent5" w:themeFillTint="33"/>
            <w:tcMar>
              <w:top w:w="58" w:type="dxa"/>
              <w:left w:w="116" w:type="dxa"/>
              <w:bottom w:w="58" w:type="dxa"/>
              <w:right w:w="116" w:type="dxa"/>
            </w:tcMar>
            <w:vAlign w:val="center"/>
            <w:hideMark/>
          </w:tcPr>
          <w:p w14:paraId="2DFDCDFD" w14:textId="77777777" w:rsidR="00F93097" w:rsidRPr="00C64153" w:rsidRDefault="00F93097">
            <w:pPr>
              <w:pStyle w:val="BodyTextGrey"/>
              <w:spacing w:before="0" w:after="0"/>
              <w:jc w:val="center"/>
              <w:rPr>
                <w:sz w:val="18"/>
                <w:szCs w:val="18"/>
              </w:rPr>
            </w:pPr>
            <w:r w:rsidRPr="00C64153">
              <w:rPr>
                <w:sz w:val="18"/>
                <w:szCs w:val="18"/>
              </w:rPr>
              <w:t>FT</w:t>
            </w:r>
          </w:p>
        </w:tc>
        <w:tc>
          <w:tcPr>
            <w:tcW w:w="1085" w:type="dxa"/>
            <w:tcBorders>
              <w:right w:val="single" w:sz="8" w:space="0" w:color="D9D9D9"/>
            </w:tcBorders>
            <w:shd w:val="clear" w:color="auto" w:fill="DEEAF6" w:themeFill="accent5" w:themeFillTint="33"/>
            <w:tcMar>
              <w:top w:w="58" w:type="dxa"/>
              <w:left w:w="116" w:type="dxa"/>
              <w:bottom w:w="58" w:type="dxa"/>
              <w:right w:w="116" w:type="dxa"/>
            </w:tcMar>
            <w:vAlign w:val="center"/>
            <w:hideMark/>
          </w:tcPr>
          <w:p w14:paraId="7CD43FD1" w14:textId="77777777" w:rsidR="00F93097" w:rsidRPr="00C64153" w:rsidRDefault="00F93097">
            <w:pPr>
              <w:pStyle w:val="BodyTextGrey"/>
              <w:spacing w:before="0" w:after="0"/>
              <w:jc w:val="center"/>
              <w:rPr>
                <w:sz w:val="18"/>
                <w:szCs w:val="18"/>
              </w:rPr>
            </w:pPr>
            <w:r w:rsidRPr="00C64153">
              <w:rPr>
                <w:sz w:val="18"/>
                <w:szCs w:val="18"/>
              </w:rPr>
              <w:t>PT</w:t>
            </w:r>
          </w:p>
        </w:tc>
      </w:tr>
      <w:tr w:rsidR="00F93097" w:rsidRPr="00C64153" w14:paraId="6012D361" w14:textId="77777777">
        <w:trPr>
          <w:trHeight w:val="185"/>
        </w:trPr>
        <w:tc>
          <w:tcPr>
            <w:tcW w:w="946" w:type="dxa"/>
            <w:tcBorders>
              <w:top w:val="nil"/>
              <w:bottom w:val="single" w:sz="4" w:space="0" w:color="auto"/>
            </w:tcBorders>
            <w:tcMar>
              <w:top w:w="58" w:type="dxa"/>
              <w:left w:w="116" w:type="dxa"/>
              <w:bottom w:w="58" w:type="dxa"/>
              <w:right w:w="116" w:type="dxa"/>
            </w:tcMar>
            <w:vAlign w:val="center"/>
            <w:hideMark/>
          </w:tcPr>
          <w:p w14:paraId="45D8F537" w14:textId="77777777" w:rsidR="00F93097" w:rsidRPr="00C64153" w:rsidRDefault="00F93097">
            <w:pPr>
              <w:pStyle w:val="BodyTextGrey"/>
              <w:spacing w:before="0" w:after="0"/>
              <w:jc w:val="center"/>
              <w:rPr>
                <w:bCs/>
                <w:sz w:val="18"/>
                <w:szCs w:val="18"/>
              </w:rPr>
            </w:pPr>
            <w:r>
              <w:rPr>
                <w:kern w:val="24"/>
                <w:sz w:val="18"/>
                <w:szCs w:val="18"/>
              </w:rPr>
              <w:t>20</w:t>
            </w:r>
          </w:p>
        </w:tc>
        <w:tc>
          <w:tcPr>
            <w:tcW w:w="974" w:type="dxa"/>
            <w:tcBorders>
              <w:top w:val="nil"/>
              <w:bottom w:val="single" w:sz="4" w:space="0" w:color="auto"/>
            </w:tcBorders>
            <w:tcMar>
              <w:top w:w="58" w:type="dxa"/>
              <w:left w:w="116" w:type="dxa"/>
              <w:bottom w:w="58" w:type="dxa"/>
              <w:right w:w="116" w:type="dxa"/>
            </w:tcMar>
            <w:vAlign w:val="center"/>
            <w:hideMark/>
          </w:tcPr>
          <w:p w14:paraId="2F44239C" w14:textId="77777777" w:rsidR="00F93097" w:rsidRPr="00C64153" w:rsidRDefault="00F93097">
            <w:pPr>
              <w:pStyle w:val="BodyTextGrey"/>
              <w:spacing w:before="0" w:after="0"/>
              <w:jc w:val="center"/>
              <w:rPr>
                <w:bCs/>
                <w:sz w:val="18"/>
                <w:szCs w:val="18"/>
              </w:rPr>
            </w:pPr>
            <w:r>
              <w:rPr>
                <w:kern w:val="24"/>
                <w:sz w:val="18"/>
                <w:szCs w:val="18"/>
              </w:rPr>
              <w:t>105</w:t>
            </w:r>
          </w:p>
        </w:tc>
        <w:tc>
          <w:tcPr>
            <w:tcW w:w="1472" w:type="dxa"/>
            <w:tcBorders>
              <w:top w:val="nil"/>
              <w:bottom w:val="single" w:sz="4" w:space="0" w:color="auto"/>
            </w:tcBorders>
            <w:shd w:val="clear" w:color="auto" w:fill="FFFFFF"/>
            <w:tcMar>
              <w:top w:w="58" w:type="dxa"/>
              <w:left w:w="116" w:type="dxa"/>
              <w:bottom w:w="58" w:type="dxa"/>
              <w:right w:w="116" w:type="dxa"/>
            </w:tcMar>
            <w:vAlign w:val="center"/>
            <w:hideMark/>
          </w:tcPr>
          <w:p w14:paraId="6416EF56"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0.11</w:t>
            </w:r>
          </w:p>
        </w:tc>
        <w:tc>
          <w:tcPr>
            <w:tcW w:w="1149" w:type="dxa"/>
            <w:tcBorders>
              <w:top w:val="nil"/>
              <w:bottom w:val="single" w:sz="4" w:space="0" w:color="auto"/>
            </w:tcBorders>
            <w:shd w:val="clear" w:color="auto" w:fill="FFFFFF"/>
            <w:tcMar>
              <w:top w:w="58" w:type="dxa"/>
              <w:left w:w="116" w:type="dxa"/>
              <w:bottom w:w="58" w:type="dxa"/>
              <w:right w:w="116" w:type="dxa"/>
            </w:tcMar>
            <w:vAlign w:val="center"/>
            <w:hideMark/>
          </w:tcPr>
          <w:p w14:paraId="5EE8A403"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359.79</w:t>
            </w:r>
          </w:p>
        </w:tc>
        <w:tc>
          <w:tcPr>
            <w:tcW w:w="1112" w:type="dxa"/>
            <w:tcBorders>
              <w:top w:val="nil"/>
              <w:bottom w:val="single" w:sz="4" w:space="0" w:color="auto"/>
            </w:tcBorders>
            <w:shd w:val="clear" w:color="auto" w:fill="FFFFFF"/>
            <w:tcMar>
              <w:top w:w="58" w:type="dxa"/>
              <w:left w:w="116" w:type="dxa"/>
              <w:bottom w:w="58" w:type="dxa"/>
              <w:right w:w="116" w:type="dxa"/>
            </w:tcMar>
            <w:vAlign w:val="center"/>
            <w:hideMark/>
          </w:tcPr>
          <w:p w14:paraId="1DE8E4E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338.79</w:t>
            </w:r>
          </w:p>
        </w:tc>
        <w:tc>
          <w:tcPr>
            <w:tcW w:w="1110" w:type="dxa"/>
            <w:tcBorders>
              <w:top w:val="nil"/>
              <w:bottom w:val="single" w:sz="4" w:space="0" w:color="auto"/>
            </w:tcBorders>
            <w:shd w:val="clear" w:color="auto" w:fill="FFFFFF"/>
            <w:tcMar>
              <w:top w:w="58" w:type="dxa"/>
              <w:left w:w="116" w:type="dxa"/>
              <w:bottom w:w="58" w:type="dxa"/>
              <w:right w:w="116" w:type="dxa"/>
            </w:tcMar>
            <w:vAlign w:val="center"/>
            <w:hideMark/>
          </w:tcPr>
          <w:p w14:paraId="0AA23548"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w:t>
            </w:r>
          </w:p>
        </w:tc>
        <w:tc>
          <w:tcPr>
            <w:tcW w:w="1098" w:type="dxa"/>
            <w:tcBorders>
              <w:top w:val="nil"/>
              <w:bottom w:val="single" w:sz="4" w:space="0" w:color="auto"/>
            </w:tcBorders>
            <w:shd w:val="clear" w:color="auto" w:fill="FFFFFF"/>
            <w:tcMar>
              <w:top w:w="58" w:type="dxa"/>
              <w:left w:w="116" w:type="dxa"/>
              <w:bottom w:w="58" w:type="dxa"/>
              <w:right w:w="116" w:type="dxa"/>
            </w:tcMar>
            <w:vAlign w:val="center"/>
            <w:hideMark/>
          </w:tcPr>
          <w:p w14:paraId="0BE2C9F3"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w:t>
            </w:r>
          </w:p>
        </w:tc>
        <w:tc>
          <w:tcPr>
            <w:tcW w:w="1109" w:type="dxa"/>
            <w:tcBorders>
              <w:top w:val="nil"/>
              <w:bottom w:val="single" w:sz="4" w:space="0" w:color="auto"/>
            </w:tcBorders>
            <w:shd w:val="clear" w:color="auto" w:fill="FFFFFF"/>
            <w:tcMar>
              <w:top w:w="58" w:type="dxa"/>
              <w:left w:w="116" w:type="dxa"/>
              <w:bottom w:w="58" w:type="dxa"/>
              <w:right w:w="116" w:type="dxa"/>
            </w:tcMar>
            <w:vAlign w:val="center"/>
            <w:hideMark/>
          </w:tcPr>
          <w:p w14:paraId="166A2B00"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w:t>
            </w:r>
          </w:p>
        </w:tc>
        <w:tc>
          <w:tcPr>
            <w:tcW w:w="1085" w:type="dxa"/>
            <w:tcBorders>
              <w:top w:val="nil"/>
              <w:bottom w:val="single" w:sz="4" w:space="0" w:color="auto"/>
            </w:tcBorders>
            <w:shd w:val="clear" w:color="auto" w:fill="FFFFFF"/>
            <w:tcMar>
              <w:top w:w="58" w:type="dxa"/>
              <w:left w:w="116" w:type="dxa"/>
              <w:bottom w:w="58" w:type="dxa"/>
              <w:right w:w="116" w:type="dxa"/>
            </w:tcMar>
            <w:vAlign w:val="center"/>
            <w:hideMark/>
          </w:tcPr>
          <w:p w14:paraId="02004990"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w:t>
            </w:r>
          </w:p>
        </w:tc>
      </w:tr>
      <w:tr w:rsidR="00F93097" w:rsidRPr="00C64153" w14:paraId="3A019E0E"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4D4427AD" w14:textId="77777777" w:rsidR="00F93097" w:rsidRPr="00C64153" w:rsidRDefault="00F93097">
            <w:pPr>
              <w:pStyle w:val="BodyTextGrey"/>
              <w:spacing w:before="0" w:after="0"/>
              <w:jc w:val="center"/>
              <w:rPr>
                <w:bCs/>
                <w:sz w:val="18"/>
                <w:szCs w:val="18"/>
              </w:rPr>
            </w:pPr>
            <w:r>
              <w:rPr>
                <w:kern w:val="24"/>
                <w:sz w:val="18"/>
                <w:szCs w:val="18"/>
              </w:rPr>
              <w:t>25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4AB2F6DB" w14:textId="77777777" w:rsidR="00F93097" w:rsidRPr="00C64153" w:rsidRDefault="00F93097">
            <w:pPr>
              <w:pStyle w:val="BodyTextGrey"/>
              <w:spacing w:before="0" w:after="0"/>
              <w:jc w:val="center"/>
              <w:rPr>
                <w:bCs/>
                <w:sz w:val="18"/>
                <w:szCs w:val="18"/>
              </w:rPr>
            </w:pPr>
            <w:r>
              <w:rPr>
                <w:kern w:val="24"/>
                <w:sz w:val="18"/>
                <w:szCs w:val="18"/>
              </w:rPr>
              <w:t>117</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EB515AF"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0.11</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40DCA85"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242.03</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01F120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227.90</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3037BD8"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0.16</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7B2FD7C"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0.13</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8B36D2A"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0.09</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66FCC68"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0.10</w:t>
            </w:r>
          </w:p>
        </w:tc>
      </w:tr>
      <w:tr w:rsidR="00F93097" w:rsidRPr="00C64153" w14:paraId="7D6E8FC7"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6B1944B1" w14:textId="77777777" w:rsidR="00F93097" w:rsidRPr="00C64153" w:rsidRDefault="00F93097">
            <w:pPr>
              <w:pStyle w:val="BodyTextGrey"/>
              <w:spacing w:before="0" w:after="0"/>
              <w:jc w:val="center"/>
              <w:rPr>
                <w:bCs/>
                <w:sz w:val="18"/>
                <w:szCs w:val="18"/>
              </w:rPr>
            </w:pPr>
            <w:r>
              <w:rPr>
                <w:kern w:val="24"/>
                <w:sz w:val="18"/>
                <w:szCs w:val="18"/>
              </w:rPr>
              <w:t>30</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436D30B0" w14:textId="77777777" w:rsidR="00F93097" w:rsidRPr="00C64153" w:rsidRDefault="00F93097">
            <w:pPr>
              <w:pStyle w:val="BodyTextGrey"/>
              <w:spacing w:before="0" w:after="0"/>
              <w:jc w:val="center"/>
              <w:rPr>
                <w:bCs/>
                <w:sz w:val="18"/>
                <w:szCs w:val="18"/>
              </w:rPr>
            </w:pPr>
            <w:r>
              <w:rPr>
                <w:kern w:val="24"/>
                <w:sz w:val="18"/>
                <w:szCs w:val="18"/>
              </w:rPr>
              <w:t>131</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EF1A97A"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0.16</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7FF897C"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202.83</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14A1D8F"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190.19</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35CC3AD"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0.21</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8CB9DAF"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0.18</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66D3A9C"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0.12</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76E4C3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0.13</w:t>
            </w:r>
          </w:p>
        </w:tc>
      </w:tr>
      <w:tr w:rsidR="00F93097" w:rsidRPr="00C64153" w14:paraId="374E0BD0"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158EAF2B" w14:textId="77777777" w:rsidR="00F93097" w:rsidRPr="00C64153" w:rsidRDefault="00F93097">
            <w:pPr>
              <w:pStyle w:val="BodyTextGrey"/>
              <w:spacing w:before="0" w:after="0"/>
              <w:jc w:val="center"/>
              <w:rPr>
                <w:bCs/>
                <w:sz w:val="18"/>
                <w:szCs w:val="18"/>
              </w:rPr>
            </w:pPr>
            <w:r>
              <w:rPr>
                <w:kern w:val="24"/>
                <w:sz w:val="18"/>
                <w:szCs w:val="18"/>
              </w:rPr>
              <w:t>35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1DE2D16D" w14:textId="77777777" w:rsidR="00F93097" w:rsidRPr="00C64153" w:rsidRDefault="00F93097">
            <w:pPr>
              <w:pStyle w:val="BodyTextGrey"/>
              <w:spacing w:before="0" w:after="0"/>
              <w:jc w:val="center"/>
              <w:rPr>
                <w:bCs/>
                <w:sz w:val="18"/>
                <w:szCs w:val="18"/>
              </w:rPr>
            </w:pPr>
            <w:r>
              <w:rPr>
                <w:kern w:val="24"/>
                <w:sz w:val="18"/>
                <w:szCs w:val="18"/>
              </w:rPr>
              <w:t>144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188FD0B"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0.27</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F605C8D"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124.95</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ECB409F"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164.73</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67B04D4"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0.41</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875168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0.34</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EEE06E4"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0.24</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C8B4E7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0.25</w:t>
            </w:r>
          </w:p>
        </w:tc>
      </w:tr>
      <w:tr w:rsidR="00F93097" w:rsidRPr="00C64153" w14:paraId="661F7BF3"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482809A5" w14:textId="77777777" w:rsidR="00F93097" w:rsidRPr="00C64153" w:rsidRDefault="00F93097">
            <w:pPr>
              <w:pStyle w:val="BodyTextGrey"/>
              <w:spacing w:before="0" w:after="0"/>
              <w:jc w:val="center"/>
              <w:rPr>
                <w:bCs/>
                <w:sz w:val="18"/>
                <w:szCs w:val="18"/>
              </w:rPr>
            </w:pPr>
            <w:r>
              <w:rPr>
                <w:kern w:val="24"/>
                <w:sz w:val="18"/>
                <w:szCs w:val="18"/>
              </w:rPr>
              <w:t>40</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4306EC0A" w14:textId="77777777" w:rsidR="00F93097" w:rsidRPr="00C64153" w:rsidRDefault="00F93097">
            <w:pPr>
              <w:pStyle w:val="BodyTextGrey"/>
              <w:spacing w:before="0" w:after="0"/>
              <w:jc w:val="center"/>
              <w:rPr>
                <w:bCs/>
                <w:sz w:val="18"/>
                <w:szCs w:val="18"/>
              </w:rPr>
            </w:pPr>
            <w:r>
              <w:rPr>
                <w:kern w:val="24"/>
                <w:sz w:val="18"/>
                <w:szCs w:val="18"/>
              </w:rPr>
              <w:t>154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B9A011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0.44</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E28B7CE"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103.93</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B203BC4"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137.00</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EA1B78C"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0.61</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D0B84E6"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0.51</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DF63BF4"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0.36</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A66D5A8"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0.37</w:t>
            </w:r>
          </w:p>
        </w:tc>
      </w:tr>
      <w:tr w:rsidR="00F93097" w:rsidRPr="00C64153" w14:paraId="7E453E2F"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60E30506" w14:textId="77777777" w:rsidR="00F93097" w:rsidRPr="00C64153" w:rsidRDefault="00F93097">
            <w:pPr>
              <w:pStyle w:val="BodyTextGrey"/>
              <w:spacing w:before="0" w:after="0"/>
              <w:jc w:val="center"/>
              <w:rPr>
                <w:bCs/>
                <w:sz w:val="18"/>
                <w:szCs w:val="18"/>
              </w:rPr>
            </w:pPr>
            <w:r>
              <w:rPr>
                <w:kern w:val="24"/>
                <w:sz w:val="18"/>
                <w:szCs w:val="18"/>
              </w:rPr>
              <w:t>45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004498AA" w14:textId="77777777" w:rsidR="00F93097" w:rsidRPr="00C64153" w:rsidRDefault="00F93097">
            <w:pPr>
              <w:pStyle w:val="BodyTextGrey"/>
              <w:spacing w:before="0" w:after="0"/>
              <w:jc w:val="center"/>
              <w:rPr>
                <w:bCs/>
                <w:sz w:val="18"/>
                <w:szCs w:val="18"/>
              </w:rPr>
            </w:pPr>
            <w:r>
              <w:rPr>
                <w:kern w:val="24"/>
                <w:sz w:val="18"/>
                <w:szCs w:val="18"/>
              </w:rPr>
              <w:t>164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2A1714C"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0.71</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6844BA6"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85.55</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C56FBC3"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112.78</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0056D9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0.82</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B49F62C"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0.68</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F75D84A"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0.48</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6F774B6"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0.50</w:t>
            </w:r>
          </w:p>
        </w:tc>
      </w:tr>
      <w:tr w:rsidR="00F93097" w:rsidRPr="00C64153" w14:paraId="7FFAD3CB"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416F89A2" w14:textId="77777777" w:rsidR="00F93097" w:rsidRPr="00C64153" w:rsidRDefault="00F93097">
            <w:pPr>
              <w:pStyle w:val="BodyTextGrey"/>
              <w:spacing w:before="0" w:after="0"/>
              <w:jc w:val="center"/>
              <w:rPr>
                <w:bCs/>
                <w:sz w:val="18"/>
                <w:szCs w:val="18"/>
              </w:rPr>
            </w:pPr>
            <w:r>
              <w:rPr>
                <w:kern w:val="24"/>
                <w:sz w:val="18"/>
                <w:szCs w:val="18"/>
              </w:rPr>
              <w:t>50</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6EFFEFBA" w14:textId="77777777" w:rsidR="00F93097" w:rsidRPr="00C64153" w:rsidRDefault="00F93097">
            <w:pPr>
              <w:pStyle w:val="BodyTextGrey"/>
              <w:spacing w:before="0" w:after="0"/>
              <w:jc w:val="center"/>
              <w:rPr>
                <w:bCs/>
                <w:sz w:val="18"/>
                <w:szCs w:val="18"/>
              </w:rPr>
            </w:pPr>
            <w:r>
              <w:rPr>
                <w:kern w:val="24"/>
                <w:sz w:val="18"/>
                <w:szCs w:val="18"/>
              </w:rPr>
              <w:t>174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B9CB7A4"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1.04</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63DFF31"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65.19</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373FB4E"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85.94</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37CA698"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1.50</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00FE51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1.23</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CD49553"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1.11</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2714F44"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1.13</w:t>
            </w:r>
          </w:p>
        </w:tc>
      </w:tr>
      <w:tr w:rsidR="00F93097" w:rsidRPr="00C64153" w14:paraId="0A418933"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549C08C2" w14:textId="77777777" w:rsidR="00F93097" w:rsidRPr="00C64153" w:rsidRDefault="00F93097">
            <w:pPr>
              <w:pStyle w:val="BodyTextGrey"/>
              <w:spacing w:before="0" w:after="0"/>
              <w:jc w:val="center"/>
              <w:rPr>
                <w:bCs/>
                <w:sz w:val="18"/>
                <w:szCs w:val="18"/>
              </w:rPr>
            </w:pPr>
            <w:r>
              <w:rPr>
                <w:kern w:val="24"/>
                <w:sz w:val="18"/>
                <w:szCs w:val="18"/>
              </w:rPr>
              <w:t>55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0108D79E" w14:textId="77777777" w:rsidR="00F93097" w:rsidRPr="00C64153" w:rsidRDefault="00F93097">
            <w:pPr>
              <w:pStyle w:val="BodyTextGrey"/>
              <w:spacing w:before="0" w:after="0"/>
              <w:jc w:val="center"/>
              <w:rPr>
                <w:bCs/>
                <w:sz w:val="18"/>
                <w:szCs w:val="18"/>
              </w:rPr>
            </w:pPr>
            <w:r>
              <w:rPr>
                <w:kern w:val="24"/>
                <w:sz w:val="18"/>
                <w:szCs w:val="18"/>
              </w:rPr>
              <w:t>179</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B447368"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1.37</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C0C40AA"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60.98</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D197D92"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80.39</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5F30C46"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5.47</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82AC92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4.43</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C738A0C"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2.32</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2783E6FF"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2.35</w:t>
            </w:r>
          </w:p>
        </w:tc>
      </w:tr>
      <w:tr w:rsidR="00F93097" w:rsidRPr="00C64153" w14:paraId="69B9A855" w14:textId="77777777">
        <w:trPr>
          <w:trHeight w:val="185"/>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0F3924B9" w14:textId="77777777" w:rsidR="00F93097" w:rsidRPr="00C64153" w:rsidRDefault="00F93097">
            <w:pPr>
              <w:pStyle w:val="BodyTextGrey"/>
              <w:spacing w:before="0" w:after="0"/>
              <w:jc w:val="center"/>
              <w:rPr>
                <w:bCs/>
                <w:sz w:val="18"/>
                <w:szCs w:val="18"/>
              </w:rPr>
            </w:pPr>
            <w:r>
              <w:rPr>
                <w:kern w:val="24"/>
                <w:sz w:val="18"/>
                <w:szCs w:val="18"/>
              </w:rPr>
              <w:t>60</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1E4293B8" w14:textId="77777777" w:rsidR="00F93097" w:rsidRPr="00C64153" w:rsidRDefault="00F93097">
            <w:pPr>
              <w:pStyle w:val="BodyTextGrey"/>
              <w:spacing w:before="0" w:after="0"/>
              <w:jc w:val="center"/>
              <w:rPr>
                <w:bCs/>
                <w:sz w:val="18"/>
                <w:szCs w:val="18"/>
              </w:rPr>
            </w:pPr>
            <w:r>
              <w:rPr>
                <w:kern w:val="24"/>
                <w:sz w:val="18"/>
                <w:szCs w:val="18"/>
              </w:rPr>
              <w:t>184</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B29AA65"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1.75</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87AD982"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49.03</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BF70A98"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64.64</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7F5E5629"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11.52</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611C674B"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9.30</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9B38097"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2.38</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658DA41"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2.40</w:t>
            </w:r>
          </w:p>
        </w:tc>
      </w:tr>
      <w:tr w:rsidR="00F93097" w:rsidRPr="00C64153" w14:paraId="6E485AB3" w14:textId="77777777">
        <w:trPr>
          <w:trHeight w:val="22"/>
        </w:trPr>
        <w:tc>
          <w:tcPr>
            <w:tcW w:w="946" w:type="dxa"/>
            <w:tcBorders>
              <w:top w:val="single" w:sz="4" w:space="0" w:color="auto"/>
              <w:bottom w:val="single" w:sz="4" w:space="0" w:color="auto"/>
            </w:tcBorders>
            <w:tcMar>
              <w:top w:w="58" w:type="dxa"/>
              <w:left w:w="116" w:type="dxa"/>
              <w:bottom w:w="58" w:type="dxa"/>
              <w:right w:w="116" w:type="dxa"/>
            </w:tcMar>
            <w:vAlign w:val="center"/>
            <w:hideMark/>
          </w:tcPr>
          <w:p w14:paraId="127BB1FA" w14:textId="77777777" w:rsidR="00F93097" w:rsidRPr="00C64153" w:rsidRDefault="00F93097">
            <w:pPr>
              <w:pStyle w:val="BodyTextGrey"/>
              <w:spacing w:before="0" w:after="0"/>
              <w:jc w:val="center"/>
              <w:rPr>
                <w:bCs/>
                <w:sz w:val="18"/>
                <w:szCs w:val="18"/>
              </w:rPr>
            </w:pPr>
            <w:r>
              <w:rPr>
                <w:kern w:val="24"/>
                <w:sz w:val="18"/>
                <w:szCs w:val="18"/>
              </w:rPr>
              <w:t>65</w:t>
            </w:r>
          </w:p>
        </w:tc>
        <w:tc>
          <w:tcPr>
            <w:tcW w:w="974" w:type="dxa"/>
            <w:tcBorders>
              <w:top w:val="single" w:sz="4" w:space="0" w:color="auto"/>
              <w:bottom w:val="single" w:sz="4" w:space="0" w:color="auto"/>
            </w:tcBorders>
            <w:tcMar>
              <w:top w:w="58" w:type="dxa"/>
              <w:left w:w="116" w:type="dxa"/>
              <w:bottom w:w="58" w:type="dxa"/>
              <w:right w:w="116" w:type="dxa"/>
            </w:tcMar>
            <w:vAlign w:val="center"/>
            <w:hideMark/>
          </w:tcPr>
          <w:p w14:paraId="2E678948" w14:textId="77777777" w:rsidR="00F93097" w:rsidRPr="00C64153" w:rsidRDefault="00F93097">
            <w:pPr>
              <w:pStyle w:val="BodyTextGrey"/>
              <w:spacing w:before="0" w:after="0"/>
              <w:jc w:val="center"/>
              <w:rPr>
                <w:bCs/>
                <w:sz w:val="18"/>
                <w:szCs w:val="18"/>
              </w:rPr>
            </w:pPr>
            <w:r>
              <w:rPr>
                <w:kern w:val="24"/>
                <w:sz w:val="18"/>
                <w:szCs w:val="18"/>
              </w:rPr>
              <w:t>185</w:t>
            </w:r>
          </w:p>
        </w:tc>
        <w:tc>
          <w:tcPr>
            <w:tcW w:w="147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550A513E"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2.25</w:t>
            </w:r>
          </w:p>
        </w:tc>
        <w:tc>
          <w:tcPr>
            <w:tcW w:w="114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7DB994F"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w:t>
            </w:r>
          </w:p>
        </w:tc>
        <w:tc>
          <w:tcPr>
            <w:tcW w:w="1112"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E9520C0"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w:t>
            </w:r>
          </w:p>
        </w:tc>
        <w:tc>
          <w:tcPr>
            <w:tcW w:w="1110"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0A16304F"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20.73</w:t>
            </w:r>
          </w:p>
        </w:tc>
        <w:tc>
          <w:tcPr>
            <w:tcW w:w="1098"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1047EFEA"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16.76</w:t>
            </w:r>
          </w:p>
        </w:tc>
        <w:tc>
          <w:tcPr>
            <w:tcW w:w="1109"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32CB93BD"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w:t>
            </w:r>
          </w:p>
        </w:tc>
        <w:tc>
          <w:tcPr>
            <w:tcW w:w="1085" w:type="dxa"/>
            <w:tcBorders>
              <w:top w:val="single" w:sz="4" w:space="0" w:color="auto"/>
              <w:bottom w:val="single" w:sz="4" w:space="0" w:color="auto"/>
            </w:tcBorders>
            <w:shd w:val="clear" w:color="auto" w:fill="FFFFFF"/>
            <w:tcMar>
              <w:top w:w="58" w:type="dxa"/>
              <w:left w:w="116" w:type="dxa"/>
              <w:bottom w:w="58" w:type="dxa"/>
              <w:right w:w="116" w:type="dxa"/>
            </w:tcMar>
            <w:vAlign w:val="center"/>
            <w:hideMark/>
          </w:tcPr>
          <w:p w14:paraId="46EF882F" w14:textId="77777777" w:rsidR="00F93097" w:rsidRPr="00C64153" w:rsidRDefault="00F93097">
            <w:pPr>
              <w:pStyle w:val="BodyTextGrey"/>
              <w:spacing w:before="0" w:after="0"/>
              <w:jc w:val="center"/>
              <w:rPr>
                <w:bCs/>
                <w:sz w:val="18"/>
                <w:szCs w:val="18"/>
              </w:rPr>
            </w:pPr>
            <w:r>
              <w:rPr>
                <w:rFonts w:eastAsiaTheme="minorEastAsia" w:cstheme="minorBidi"/>
                <w:color w:val="455560"/>
                <w:kern w:val="24"/>
                <w:sz w:val="18"/>
                <w:szCs w:val="18"/>
              </w:rPr>
              <w:t>0</w:t>
            </w:r>
          </w:p>
        </w:tc>
      </w:tr>
    </w:tbl>
    <w:p w14:paraId="68CC66E2" w14:textId="253E9B13" w:rsidR="00F93097" w:rsidRPr="007A3DEF" w:rsidRDefault="00F93097" w:rsidP="007A3DEF">
      <w:pPr>
        <w:rPr>
          <w:highlight w:val="yellow"/>
        </w:rPr>
      </w:pPr>
    </w:p>
    <w:bookmarkEnd w:id="91"/>
    <w:bookmarkEnd w:id="92"/>
    <w:bookmarkEnd w:id="93"/>
    <w:bookmarkEnd w:id="94"/>
    <w:p w14:paraId="0493CEA3" w14:textId="44999DB5" w:rsidR="00F93097" w:rsidRDefault="00F93097" w:rsidP="00DB668C">
      <w:pPr>
        <w:pStyle w:val="Appendix2"/>
      </w:pPr>
      <w:r>
        <w:t xml:space="preserve">D5 </w:t>
      </w:r>
      <w:r w:rsidR="00DB668C">
        <w:tab/>
      </w:r>
      <w:r>
        <w:t xml:space="preserve">What assumptions apply in a cessation valuation following an employer’s exit from the Fund? </w:t>
      </w:r>
    </w:p>
    <w:p w14:paraId="356AF139" w14:textId="77777777" w:rsidR="00F93097" w:rsidRDefault="00F93097" w:rsidP="00F93097">
      <w:pPr>
        <w:pStyle w:val="BodyTextGrey"/>
      </w:pPr>
      <w:r w:rsidRPr="00873F35">
        <w:t xml:space="preserve">Please refer to the Fund’s cessation </w:t>
      </w:r>
      <w:r w:rsidRPr="00E82D8F">
        <w:t>policy in Appendix G for further</w:t>
      </w:r>
      <w:r w:rsidRPr="00873F35">
        <w:t xml:space="preserve"> information.</w:t>
      </w:r>
    </w:p>
    <w:p w14:paraId="62B4DF69" w14:textId="77777777" w:rsidR="00F93097" w:rsidRDefault="00F93097" w:rsidP="00F93097">
      <w:pPr>
        <w:pStyle w:val="BodyTextGrey"/>
      </w:pPr>
    </w:p>
    <w:p w14:paraId="4FEBB8D4" w14:textId="77777777" w:rsidR="00F93097" w:rsidRDefault="00F93097" w:rsidP="00F93097">
      <w:pPr>
        <w:spacing w:after="20"/>
        <w:rPr>
          <w:color w:val="4472C4" w:themeColor="accent1"/>
          <w:sz w:val="36"/>
          <w:szCs w:val="36"/>
          <w:lang w:eastAsia="en-US"/>
        </w:rPr>
      </w:pPr>
      <w:r>
        <w:br w:type="page"/>
      </w:r>
    </w:p>
    <w:p w14:paraId="211E7642" w14:textId="77777777" w:rsidR="00F93097" w:rsidRDefault="00F93097" w:rsidP="00DB668C">
      <w:pPr>
        <w:pStyle w:val="Heading2"/>
      </w:pPr>
      <w:bookmarkStart w:id="104" w:name="_Toc152160463"/>
      <w:r>
        <w:t>Appendix E – Policy on contribution reviews</w:t>
      </w:r>
      <w:bookmarkEnd w:id="104"/>
    </w:p>
    <w:tbl>
      <w:tblPr>
        <w:tblStyle w:val="TableGrid"/>
        <w:tblW w:w="0" w:type="auto"/>
        <w:tblLayout w:type="fixed"/>
        <w:tblLook w:val="04A0" w:firstRow="1" w:lastRow="0" w:firstColumn="1" w:lastColumn="0" w:noHBand="0" w:noVBand="1"/>
      </w:tblPr>
      <w:tblGrid>
        <w:gridCol w:w="3425"/>
        <w:gridCol w:w="3250"/>
      </w:tblGrid>
      <w:tr w:rsidR="00F93097" w14:paraId="68BF2441" w14:textId="77777777">
        <w:trPr>
          <w:trHeight w:val="301"/>
        </w:trPr>
        <w:tc>
          <w:tcPr>
            <w:tcW w:w="3425" w:type="dxa"/>
          </w:tcPr>
          <w:p w14:paraId="28AB8244" w14:textId="77777777" w:rsidR="00F93097" w:rsidRPr="007C2164" w:rsidRDefault="00F93097">
            <w:pPr>
              <w:pStyle w:val="BodyTextGrey"/>
              <w:spacing w:after="0"/>
            </w:pPr>
            <w:bookmarkStart w:id="105" w:name="_Toc110352043"/>
            <w:bookmarkStart w:id="106" w:name="_Toc110352068"/>
            <w:bookmarkStart w:id="107" w:name="_Toc110352133"/>
            <w:r w:rsidRPr="007C2164">
              <w:t>Effective date of policy</w:t>
            </w:r>
            <w:bookmarkEnd w:id="105"/>
            <w:bookmarkEnd w:id="106"/>
            <w:bookmarkEnd w:id="107"/>
          </w:p>
        </w:tc>
        <w:tc>
          <w:tcPr>
            <w:tcW w:w="3250" w:type="dxa"/>
          </w:tcPr>
          <w:p w14:paraId="56B13EB2" w14:textId="77777777" w:rsidR="00F93097" w:rsidRPr="007C2164" w:rsidRDefault="00F93097">
            <w:pPr>
              <w:pStyle w:val="BodyTextGrey"/>
              <w:spacing w:after="0"/>
            </w:pPr>
            <w:r>
              <w:t>01 April 2024</w:t>
            </w:r>
          </w:p>
        </w:tc>
      </w:tr>
      <w:tr w:rsidR="00F93097" w14:paraId="137F9266" w14:textId="77777777">
        <w:trPr>
          <w:trHeight w:val="301"/>
        </w:trPr>
        <w:tc>
          <w:tcPr>
            <w:tcW w:w="3425" w:type="dxa"/>
          </w:tcPr>
          <w:p w14:paraId="07DEB98B" w14:textId="77777777" w:rsidR="00F93097" w:rsidRPr="007C2164" w:rsidRDefault="00F93097">
            <w:pPr>
              <w:pStyle w:val="BodyTextGrey"/>
              <w:spacing w:after="0"/>
            </w:pPr>
            <w:bookmarkStart w:id="108" w:name="_Toc110352044"/>
            <w:bookmarkStart w:id="109" w:name="_Toc110352069"/>
            <w:bookmarkStart w:id="110" w:name="_Toc110352134"/>
            <w:r w:rsidRPr="007C2164">
              <w:t>Date approved</w:t>
            </w:r>
            <w:bookmarkEnd w:id="108"/>
            <w:bookmarkEnd w:id="109"/>
            <w:bookmarkEnd w:id="110"/>
          </w:p>
        </w:tc>
        <w:tc>
          <w:tcPr>
            <w:tcW w:w="3250" w:type="dxa"/>
          </w:tcPr>
          <w:p w14:paraId="0680BA81" w14:textId="77777777" w:rsidR="00F93097" w:rsidRPr="007C2164" w:rsidRDefault="00F93097">
            <w:pPr>
              <w:pStyle w:val="BodyTextGrey"/>
              <w:spacing w:after="0"/>
            </w:pPr>
            <w:r>
              <w:t>28 March 2024</w:t>
            </w:r>
          </w:p>
        </w:tc>
      </w:tr>
      <w:tr w:rsidR="00F93097" w14:paraId="545B01CE" w14:textId="77777777">
        <w:trPr>
          <w:trHeight w:val="301"/>
        </w:trPr>
        <w:tc>
          <w:tcPr>
            <w:tcW w:w="3425" w:type="dxa"/>
          </w:tcPr>
          <w:p w14:paraId="20201AFD" w14:textId="77777777" w:rsidR="00F93097" w:rsidRPr="007C2164" w:rsidRDefault="00F93097">
            <w:pPr>
              <w:pStyle w:val="BodyTextGrey"/>
              <w:spacing w:after="0"/>
            </w:pPr>
            <w:bookmarkStart w:id="111" w:name="_Toc110352070"/>
            <w:bookmarkStart w:id="112" w:name="_Toc110352135"/>
            <w:r w:rsidRPr="007C2164">
              <w:t>Next review</w:t>
            </w:r>
            <w:bookmarkEnd w:id="111"/>
            <w:bookmarkEnd w:id="112"/>
          </w:p>
        </w:tc>
        <w:tc>
          <w:tcPr>
            <w:tcW w:w="3250" w:type="dxa"/>
          </w:tcPr>
          <w:p w14:paraId="0AB81DC7" w14:textId="77777777" w:rsidR="00F93097" w:rsidRPr="007C2164" w:rsidRDefault="00F93097">
            <w:pPr>
              <w:pStyle w:val="BodyTextGrey"/>
              <w:spacing w:after="0"/>
            </w:pPr>
            <w:r>
              <w:t>2026</w:t>
            </w:r>
          </w:p>
        </w:tc>
      </w:tr>
    </w:tbl>
    <w:p w14:paraId="23A00778" w14:textId="02D9F726" w:rsidR="00F93097" w:rsidRDefault="00F93097" w:rsidP="00DB668C">
      <w:pPr>
        <w:pStyle w:val="Appendix2"/>
        <w:ind w:firstLine="0"/>
      </w:pPr>
      <w:r>
        <w:t>Introduction</w:t>
      </w:r>
    </w:p>
    <w:p w14:paraId="4D4B3A5E" w14:textId="77777777" w:rsidR="00F93097" w:rsidRDefault="00F93097" w:rsidP="00F93097">
      <w:pPr>
        <w:pStyle w:val="BodyTextGrey"/>
      </w:pPr>
      <w:r>
        <w:t xml:space="preserve">The purpose of this policy is to set out the Administering Authority’s approach to reviewing contribution rates between triennial valuations. </w:t>
      </w:r>
    </w:p>
    <w:p w14:paraId="5A0B15B1" w14:textId="77777777" w:rsidR="00F93097" w:rsidRDefault="00F93097" w:rsidP="00F93097">
      <w:pPr>
        <w:pStyle w:val="BodyTextGrey"/>
      </w:pPr>
      <w:r>
        <w:t xml:space="preserve">It should be noted that this statement is not </w:t>
      </w:r>
      <w:proofErr w:type="gramStart"/>
      <w:r>
        <w:t>exhaustive</w:t>
      </w:r>
      <w:proofErr w:type="gramEnd"/>
      <w:r>
        <w:t xml:space="preserve"> and individual circumstances may be taken into consideration where appropriate.</w:t>
      </w:r>
    </w:p>
    <w:p w14:paraId="764C1691" w14:textId="69A4BCB4" w:rsidR="00F93097" w:rsidRDefault="00F93097" w:rsidP="00DB668C">
      <w:pPr>
        <w:pStyle w:val="Appendix2"/>
      </w:pPr>
      <w:r>
        <w:t xml:space="preserve">E1 </w:t>
      </w:r>
      <w:r w:rsidR="00DB668C">
        <w:tab/>
      </w:r>
      <w:r>
        <w:t>Aims and objectives</w:t>
      </w:r>
    </w:p>
    <w:p w14:paraId="600AAEC3" w14:textId="77777777" w:rsidR="00F93097" w:rsidRDefault="00F93097" w:rsidP="00F93097">
      <w:pPr>
        <w:pStyle w:val="BodyTextGrey"/>
      </w:pPr>
      <w:r>
        <w:t xml:space="preserve">The Administering Authority’s aims and objectives related to this policy are as follows: </w:t>
      </w:r>
    </w:p>
    <w:p w14:paraId="14DF52DF" w14:textId="77777777" w:rsidR="00F93097" w:rsidRDefault="00F93097" w:rsidP="00F9314B">
      <w:pPr>
        <w:pStyle w:val="BodyTextGrey"/>
        <w:numPr>
          <w:ilvl w:val="0"/>
          <w:numId w:val="25"/>
        </w:numPr>
      </w:pPr>
      <w:r>
        <w:t>To provide employers with clarity around the circumstances where contribution rates may be reviewed between valuations.</w:t>
      </w:r>
    </w:p>
    <w:p w14:paraId="567AFB4B" w14:textId="77777777" w:rsidR="00F93097" w:rsidRDefault="00F93097" w:rsidP="00F9314B">
      <w:pPr>
        <w:pStyle w:val="BodyTextGrey"/>
        <w:numPr>
          <w:ilvl w:val="0"/>
          <w:numId w:val="25"/>
        </w:numPr>
      </w:pPr>
      <w:r>
        <w:t>To outline specific circumstances where contribution rates will not be reviewed.</w:t>
      </w:r>
    </w:p>
    <w:p w14:paraId="4707549F" w14:textId="6FE8363B" w:rsidR="00F93097" w:rsidRPr="004A7AFA" w:rsidRDefault="00F93097" w:rsidP="00DB668C">
      <w:pPr>
        <w:pStyle w:val="Appendix2"/>
      </w:pPr>
      <w:r>
        <w:t xml:space="preserve">E2 </w:t>
      </w:r>
      <w:r w:rsidR="00DB668C">
        <w:tab/>
      </w:r>
      <w:r>
        <w:t>Background</w:t>
      </w:r>
    </w:p>
    <w:p w14:paraId="7F463292" w14:textId="77777777" w:rsidR="00F93097" w:rsidRDefault="00F93097" w:rsidP="00F93097">
      <w:pPr>
        <w:pStyle w:val="BodyTextGrey"/>
      </w:pPr>
      <w:r>
        <w:t>T</w:t>
      </w:r>
      <w:r w:rsidRPr="000966D8">
        <w:t xml:space="preserve">he Fund may amend contribution rates between valuations for </w:t>
      </w:r>
      <w:r>
        <w:t>‘</w:t>
      </w:r>
      <w:r w:rsidRPr="000966D8">
        <w:t>significant change</w:t>
      </w:r>
      <w:r>
        <w:t>’</w:t>
      </w:r>
      <w:r w:rsidRPr="000966D8">
        <w:t xml:space="preserve"> to the liabilities or covenant of an employer. </w:t>
      </w:r>
    </w:p>
    <w:p w14:paraId="430F10F0" w14:textId="77777777" w:rsidR="00F93097" w:rsidRDefault="00F93097" w:rsidP="00F93097">
      <w:pPr>
        <w:pStyle w:val="BodyTextGrey"/>
      </w:pPr>
      <w:r>
        <w:t>Such reviews may be instigated by the Fund or at the request of a participating employer.</w:t>
      </w:r>
    </w:p>
    <w:p w14:paraId="34099171" w14:textId="77777777" w:rsidR="00F93097" w:rsidRPr="001405A0" w:rsidRDefault="00F93097" w:rsidP="00F93097">
      <w:pPr>
        <w:pStyle w:val="BodyTextGrey"/>
      </w:pPr>
      <w:r>
        <w:rPr>
          <w:color w:val="45545F"/>
        </w:rPr>
        <w:t>A</w:t>
      </w:r>
      <w:r w:rsidRPr="004B478B">
        <w:rPr>
          <w:color w:val="45545F"/>
        </w:rPr>
        <w:t xml:space="preserve">ny review may </w:t>
      </w:r>
      <w:r>
        <w:rPr>
          <w:color w:val="45545F"/>
        </w:rPr>
        <w:t xml:space="preserve">lead to a change in the </w:t>
      </w:r>
      <w:r w:rsidRPr="004B478B">
        <w:rPr>
          <w:color w:val="45545F"/>
        </w:rPr>
        <w:t>require</w:t>
      </w:r>
      <w:r>
        <w:rPr>
          <w:color w:val="45545F"/>
        </w:rPr>
        <w:t xml:space="preserve">d </w:t>
      </w:r>
      <w:r w:rsidRPr="004B478B">
        <w:rPr>
          <w:color w:val="45545F"/>
        </w:rPr>
        <w:t>contributions</w:t>
      </w:r>
      <w:r>
        <w:rPr>
          <w:color w:val="45545F"/>
        </w:rPr>
        <w:t xml:space="preserve"> from the employer</w:t>
      </w:r>
      <w:r w:rsidRPr="004B478B">
        <w:rPr>
          <w:color w:val="45545F"/>
        </w:rPr>
        <w:t>.</w:t>
      </w:r>
    </w:p>
    <w:p w14:paraId="6E1D761D" w14:textId="3A756467" w:rsidR="00F93097" w:rsidRPr="00B02373" w:rsidRDefault="00F93097" w:rsidP="00DB668C">
      <w:pPr>
        <w:pStyle w:val="Appendix2"/>
      </w:pPr>
      <w:r>
        <w:t xml:space="preserve">E3 </w:t>
      </w:r>
      <w:r w:rsidR="00DB668C">
        <w:tab/>
      </w:r>
      <w:r w:rsidRPr="002F2AAA">
        <w:t xml:space="preserve">Guidance and </w:t>
      </w:r>
      <w:r>
        <w:t>r</w:t>
      </w:r>
      <w:r w:rsidRPr="002F2AAA">
        <w:t>egulatory framework</w:t>
      </w:r>
    </w:p>
    <w:p w14:paraId="7B491D1C" w14:textId="77777777" w:rsidR="00F93097" w:rsidRDefault="00F93097" w:rsidP="00F93097">
      <w:pPr>
        <w:pStyle w:val="BodyTextGrey"/>
      </w:pPr>
      <w:hyperlink r:id="rId20" w:history="1">
        <w:r w:rsidRPr="00697A08">
          <w:rPr>
            <w:rStyle w:val="Hyperlink"/>
          </w:rPr>
          <w:t>Regulation 61</w:t>
        </w:r>
      </w:hyperlink>
      <w:r>
        <w:t xml:space="preserve"> of the Local Government Pension Scheme (Scotland) Regulations 2018 sets out the way in which LGPS funds should determine employer contributions, including the </w:t>
      </w:r>
      <w:proofErr w:type="gramStart"/>
      <w:r>
        <w:t>following;</w:t>
      </w:r>
      <w:proofErr w:type="gramEnd"/>
    </w:p>
    <w:p w14:paraId="3EEEAEA3" w14:textId="77777777" w:rsidR="00F93097" w:rsidRDefault="00F93097" w:rsidP="00F9314B">
      <w:pPr>
        <w:pStyle w:val="BodyTextGrey"/>
        <w:numPr>
          <w:ilvl w:val="0"/>
          <w:numId w:val="25"/>
        </w:numPr>
      </w:pPr>
      <w:r>
        <w:t>Regulation 61 (6) – allows the Administering Authority to review the contribution rate if it becomes likely that an employer will cease participation in the Fund, with a view to ensuring that the employer is fully funded at the expected exit date.</w:t>
      </w:r>
    </w:p>
    <w:p w14:paraId="65AE799B" w14:textId="77777777" w:rsidR="00F93097" w:rsidRDefault="00F93097" w:rsidP="00F9314B">
      <w:pPr>
        <w:pStyle w:val="BodyTextGrey"/>
        <w:numPr>
          <w:ilvl w:val="0"/>
          <w:numId w:val="25"/>
        </w:numPr>
      </w:pPr>
      <w:r>
        <w:t xml:space="preserve">Regulation 61A - sets out specific circumstances where the Administering Authority may revise contributions between valuations (including where a review is requested by one or more employers). </w:t>
      </w:r>
    </w:p>
    <w:p w14:paraId="40F30BE5" w14:textId="6DCFE318" w:rsidR="00F93097" w:rsidRDefault="00F93097" w:rsidP="00DB668C">
      <w:pPr>
        <w:pStyle w:val="Appendix2"/>
      </w:pPr>
      <w:r>
        <w:t xml:space="preserve">E4 </w:t>
      </w:r>
      <w:r w:rsidR="007A3DEF">
        <w:tab/>
      </w:r>
      <w:r>
        <w:t>Statement of principles</w:t>
      </w:r>
    </w:p>
    <w:p w14:paraId="471C339F" w14:textId="77777777" w:rsidR="00F93097" w:rsidRDefault="00F93097" w:rsidP="00F93097">
      <w:pPr>
        <w:pStyle w:val="BodyTextGrey"/>
      </w:pPr>
      <w:r>
        <w:t>This statement of principles covers review of contributions between valuations. Each case will be treated on its own merits, but in general:</w:t>
      </w:r>
    </w:p>
    <w:p w14:paraId="1FF53607" w14:textId="77777777" w:rsidR="00F93097" w:rsidRDefault="00F93097" w:rsidP="00F9314B">
      <w:pPr>
        <w:pStyle w:val="BodyTextGrey"/>
        <w:numPr>
          <w:ilvl w:val="0"/>
          <w:numId w:val="25"/>
        </w:numPr>
      </w:pPr>
      <w:r>
        <w:t>The Administering Authority reserves the right to review contributions in line with the provisions set out in the LGPS Regulations.</w:t>
      </w:r>
    </w:p>
    <w:p w14:paraId="1D26672A" w14:textId="77777777" w:rsidR="00F93097" w:rsidRDefault="00F93097" w:rsidP="00F9314B">
      <w:pPr>
        <w:pStyle w:val="BodyTextGrey"/>
        <w:numPr>
          <w:ilvl w:val="0"/>
          <w:numId w:val="25"/>
        </w:numPr>
      </w:pPr>
      <w:r>
        <w:t>The decision to make a change to contribution rates rests with the Administering Authority, subject to consultation with employers during the review period.</w:t>
      </w:r>
    </w:p>
    <w:p w14:paraId="655067B5" w14:textId="77777777" w:rsidR="00F93097" w:rsidRDefault="00F93097" w:rsidP="00F9314B">
      <w:pPr>
        <w:pStyle w:val="BodyTextGrey"/>
        <w:numPr>
          <w:ilvl w:val="0"/>
          <w:numId w:val="25"/>
        </w:numPr>
      </w:pPr>
      <w:r>
        <w:t>Full justification for any change in contribution rates will be provided to employers.</w:t>
      </w:r>
    </w:p>
    <w:p w14:paraId="58A78676" w14:textId="77777777" w:rsidR="00F93097" w:rsidRDefault="00F93097" w:rsidP="00F9314B">
      <w:pPr>
        <w:pStyle w:val="BodyTextGrey"/>
        <w:numPr>
          <w:ilvl w:val="0"/>
          <w:numId w:val="25"/>
        </w:numPr>
      </w:pPr>
      <w:r>
        <w:t>Advice will be taken from the Fund actuary in respect of any review of contribution rates.</w:t>
      </w:r>
    </w:p>
    <w:p w14:paraId="2DDE3270" w14:textId="77777777" w:rsidR="00F93097" w:rsidRDefault="00F93097" w:rsidP="00F9314B">
      <w:pPr>
        <w:pStyle w:val="BodyTextGrey"/>
        <w:numPr>
          <w:ilvl w:val="0"/>
          <w:numId w:val="25"/>
        </w:numPr>
      </w:pPr>
      <w:r>
        <w:t>Any revision to contribution rates will be reflected in the Rates &amp; Adjustment certificate.</w:t>
      </w:r>
    </w:p>
    <w:p w14:paraId="4041B6CC" w14:textId="5B47FC97" w:rsidR="00F93097" w:rsidRDefault="00F93097" w:rsidP="00DB668C">
      <w:pPr>
        <w:pStyle w:val="Appendix2"/>
      </w:pPr>
      <w:r>
        <w:t xml:space="preserve">E5 </w:t>
      </w:r>
      <w:r w:rsidR="007A3DEF">
        <w:tab/>
      </w:r>
      <w:r>
        <w:t>Policy</w:t>
      </w:r>
    </w:p>
    <w:p w14:paraId="340E8E38" w14:textId="77777777" w:rsidR="00F93097" w:rsidRDefault="00F93097" w:rsidP="00F93097">
      <w:pPr>
        <w:pStyle w:val="Appendix3"/>
      </w:pPr>
      <w:r>
        <w:t>E5.1 Circumstances for review</w:t>
      </w:r>
    </w:p>
    <w:p w14:paraId="2D72D994" w14:textId="77777777" w:rsidR="00F93097" w:rsidRDefault="00F93097" w:rsidP="00F93097">
      <w:pPr>
        <w:pStyle w:val="BodyTextGrey"/>
      </w:pPr>
      <w:r w:rsidRPr="000966D8">
        <w:t xml:space="preserve">The </w:t>
      </w:r>
      <w:r>
        <w:t>Fund</w:t>
      </w:r>
      <w:r w:rsidRPr="000966D8">
        <w:t xml:space="preserve"> would consider the following circumstances as a potential trigger for review: </w:t>
      </w:r>
    </w:p>
    <w:p w14:paraId="2A11D770" w14:textId="77777777" w:rsidR="00F93097" w:rsidRPr="000966D8" w:rsidRDefault="00F93097" w:rsidP="00F9314B">
      <w:pPr>
        <w:pStyle w:val="BodyTextGrey"/>
        <w:numPr>
          <w:ilvl w:val="0"/>
          <w:numId w:val="25"/>
        </w:numPr>
      </w:pPr>
      <w:r w:rsidRPr="000966D8">
        <w:t xml:space="preserve">in the opinion of an </w:t>
      </w:r>
      <w:r>
        <w:t>Administering Authority</w:t>
      </w:r>
      <w:r w:rsidRPr="000966D8">
        <w:t xml:space="preserve"> there are circumstances which make it likely that an employer (including an admission body) will become an </w:t>
      </w:r>
      <w:proofErr w:type="spellStart"/>
      <w:r w:rsidRPr="000966D8">
        <w:t>exiting</w:t>
      </w:r>
      <w:proofErr w:type="spellEnd"/>
      <w:r w:rsidRPr="000966D8">
        <w:t xml:space="preserve"> employer sooner than anticipated at the last </w:t>
      </w:r>
      <w:proofErr w:type="gramStart"/>
      <w:r w:rsidRPr="000966D8">
        <w:t>valuation;</w:t>
      </w:r>
      <w:proofErr w:type="gramEnd"/>
    </w:p>
    <w:p w14:paraId="0982A0E8" w14:textId="77777777" w:rsidR="00F93097" w:rsidRPr="000966D8" w:rsidRDefault="00F93097" w:rsidP="00F9314B">
      <w:pPr>
        <w:pStyle w:val="BodyTextGrey"/>
        <w:numPr>
          <w:ilvl w:val="0"/>
          <w:numId w:val="25"/>
        </w:numPr>
      </w:pPr>
      <w:r w:rsidRPr="000966D8">
        <w:t xml:space="preserve">an employer is approaching exit from the </w:t>
      </w:r>
      <w:r>
        <w:t>Fund</w:t>
      </w:r>
      <w:r w:rsidRPr="000966D8">
        <w:t xml:space="preserve"> </w:t>
      </w:r>
      <w:r w:rsidRPr="00810DE5">
        <w:t>within the next two years and</w:t>
      </w:r>
      <w:r w:rsidRPr="000966D8">
        <w:t xml:space="preserve"> before completion of the next </w:t>
      </w:r>
      <w:r>
        <w:t xml:space="preserve">triennial </w:t>
      </w:r>
      <w:proofErr w:type="gramStart"/>
      <w:r w:rsidRPr="000966D8">
        <w:t>valuation;</w:t>
      </w:r>
      <w:proofErr w:type="gramEnd"/>
      <w:r w:rsidRPr="000966D8">
        <w:t xml:space="preserve"> </w:t>
      </w:r>
    </w:p>
    <w:p w14:paraId="7363A71D" w14:textId="77777777" w:rsidR="00F93097" w:rsidRPr="000966D8" w:rsidRDefault="00F93097" w:rsidP="00F9314B">
      <w:pPr>
        <w:pStyle w:val="BodyTextGrey"/>
        <w:numPr>
          <w:ilvl w:val="0"/>
          <w:numId w:val="25"/>
        </w:numPr>
      </w:pPr>
      <w:r w:rsidRPr="000966D8">
        <w:t xml:space="preserve">there are changes to the benefit structure set out in the LGPS Regulations which have not been allowed for at the last </w:t>
      </w:r>
      <w:proofErr w:type="gramStart"/>
      <w:r w:rsidRPr="000966D8">
        <w:t>valuation;</w:t>
      </w:r>
      <w:proofErr w:type="gramEnd"/>
    </w:p>
    <w:p w14:paraId="510F04A3" w14:textId="77777777" w:rsidR="00F93097" w:rsidRPr="000966D8" w:rsidRDefault="00F93097" w:rsidP="00F9314B">
      <w:pPr>
        <w:pStyle w:val="BodyTextGrey"/>
        <w:numPr>
          <w:ilvl w:val="0"/>
          <w:numId w:val="25"/>
        </w:numPr>
      </w:pPr>
      <w:r w:rsidRPr="000966D8">
        <w:t xml:space="preserve">it appears likely to the </w:t>
      </w:r>
      <w:hyperlink r:id="rId21" w:anchor="s1adau" w:history="1">
        <w:r>
          <w:t>administering</w:t>
        </w:r>
      </w:hyperlink>
      <w:r>
        <w:t xml:space="preserve"> authority</w:t>
      </w:r>
      <w:r w:rsidRPr="000966D8">
        <w:t xml:space="preserve"> that the amount of the liabilities arising or likely to arise for an employer or employers has changed significantly since the last valuation;</w:t>
      </w:r>
    </w:p>
    <w:p w14:paraId="4831B9DB" w14:textId="77777777" w:rsidR="00F93097" w:rsidRPr="000966D8" w:rsidRDefault="00F93097" w:rsidP="00F9314B">
      <w:pPr>
        <w:pStyle w:val="BodyTextGrey"/>
        <w:numPr>
          <w:ilvl w:val="0"/>
          <w:numId w:val="25"/>
        </w:numPr>
      </w:pPr>
      <w:r w:rsidRPr="000966D8">
        <w:t xml:space="preserve">it appears likely to the </w:t>
      </w:r>
      <w:r>
        <w:t>Administering Authority</w:t>
      </w:r>
      <w:r w:rsidRPr="000966D8">
        <w:t xml:space="preserve"> that there has been a significant change in the ability of an employer or employers to meet their obligations (</w:t>
      </w:r>
      <w:r>
        <w:t xml:space="preserve">e.g. </w:t>
      </w:r>
      <w:r w:rsidRPr="000966D8">
        <w:t>a material change in employer covenant</w:t>
      </w:r>
      <w:r>
        <w:t>, or provision of additional security</w:t>
      </w:r>
      <w:proofErr w:type="gramStart"/>
      <w:r w:rsidRPr="000966D8">
        <w:t>);</w:t>
      </w:r>
      <w:proofErr w:type="gramEnd"/>
      <w:r w:rsidRPr="000966D8">
        <w:t xml:space="preserve"> </w:t>
      </w:r>
    </w:p>
    <w:p w14:paraId="36B3DBD4" w14:textId="77777777" w:rsidR="00F93097" w:rsidRPr="000966D8" w:rsidRDefault="00F93097" w:rsidP="00F9314B">
      <w:pPr>
        <w:pStyle w:val="BodyTextGrey"/>
        <w:numPr>
          <w:ilvl w:val="0"/>
          <w:numId w:val="25"/>
        </w:numPr>
      </w:pPr>
      <w:r w:rsidRPr="000966D8">
        <w:t xml:space="preserve">it appears to the </w:t>
      </w:r>
      <w:r>
        <w:t>Administering Authority</w:t>
      </w:r>
      <w:r w:rsidRPr="000966D8">
        <w:t xml:space="preserve"> that the membership of the employer has changed materially such as bulk transfers, significant reductions to payroll or large-scale restructuring; or </w:t>
      </w:r>
    </w:p>
    <w:p w14:paraId="2D05229E" w14:textId="77777777" w:rsidR="00F93097" w:rsidRDefault="00F93097" w:rsidP="00F9314B">
      <w:pPr>
        <w:pStyle w:val="BodyTextGrey"/>
        <w:numPr>
          <w:ilvl w:val="0"/>
          <w:numId w:val="25"/>
        </w:numPr>
      </w:pPr>
      <w:r w:rsidRPr="000966D8">
        <w:t xml:space="preserve">where an employer has failed to pay contributions or has not arranged appropriate security as required by the </w:t>
      </w:r>
      <w:r>
        <w:t>Administering Authority</w:t>
      </w:r>
      <w:r w:rsidRPr="000966D8">
        <w:t>.</w:t>
      </w:r>
    </w:p>
    <w:p w14:paraId="390DCFA1" w14:textId="77777777" w:rsidR="00F93097" w:rsidRPr="001405A0" w:rsidRDefault="00F93097" w:rsidP="00F93097">
      <w:pPr>
        <w:pStyle w:val="Appendix3"/>
      </w:pPr>
      <w:r>
        <w:t xml:space="preserve">E5.2 Employer requests </w:t>
      </w:r>
    </w:p>
    <w:p w14:paraId="61E33139" w14:textId="77777777" w:rsidR="00F93097" w:rsidRDefault="00F93097" w:rsidP="00F93097">
      <w:pPr>
        <w:pStyle w:val="BodyTextGrey"/>
      </w:pPr>
      <w:r w:rsidRPr="001405A0">
        <w:t xml:space="preserve">The </w:t>
      </w:r>
      <w:r>
        <w:t>Administering Authority</w:t>
      </w:r>
      <w:r w:rsidRPr="001405A0">
        <w:t xml:space="preserve"> will also consider a request from any employer to review contributions where the employer has undertaken to meet the costs of that review and sets out the reasoning for the review (which would be expected to fall into one of the above categories, such as a belief that their covenant has changed materially, or they are going through a significant restructuring impacting their membership).</w:t>
      </w:r>
    </w:p>
    <w:p w14:paraId="63E43A76" w14:textId="77777777" w:rsidR="00F93097" w:rsidRDefault="00F93097" w:rsidP="00F93097">
      <w:pPr>
        <w:pStyle w:val="BodyTextGrey"/>
      </w:pPr>
      <w:r>
        <w:t>The Administering Authority will require additional information to support a contribution review made at the employer’s request.  The specific requirements will be confirmed following any request and this is likely to include the following:</w:t>
      </w:r>
    </w:p>
    <w:p w14:paraId="45A3AA24" w14:textId="77777777" w:rsidR="00F93097" w:rsidRDefault="00F93097" w:rsidP="00F9314B">
      <w:pPr>
        <w:pStyle w:val="BodyTextGrey"/>
        <w:numPr>
          <w:ilvl w:val="0"/>
          <w:numId w:val="25"/>
        </w:numPr>
      </w:pPr>
      <w:r>
        <w:t xml:space="preserve">a copy of the </w:t>
      </w:r>
      <w:r w:rsidRPr="00D56D22">
        <w:t xml:space="preserve">latest </w:t>
      </w:r>
      <w:proofErr w:type="gramStart"/>
      <w:r w:rsidRPr="00D56D22">
        <w:t>accounts</w:t>
      </w:r>
      <w:r>
        <w:t>;</w:t>
      </w:r>
      <w:proofErr w:type="gramEnd"/>
      <w:r w:rsidRPr="00D56D22">
        <w:t xml:space="preserve"> </w:t>
      </w:r>
    </w:p>
    <w:p w14:paraId="32C308C9" w14:textId="77777777" w:rsidR="00F93097" w:rsidRDefault="00F93097" w:rsidP="00F9314B">
      <w:pPr>
        <w:pStyle w:val="BodyTextGrey"/>
        <w:numPr>
          <w:ilvl w:val="0"/>
          <w:numId w:val="25"/>
        </w:numPr>
      </w:pPr>
      <w:r w:rsidRPr="00D56D22">
        <w:t>details of any additional security being offered (which may include insurance certificates</w:t>
      </w:r>
      <w:proofErr w:type="gramStart"/>
      <w:r w:rsidRPr="00D56D22">
        <w:t>)</w:t>
      </w:r>
      <w:r>
        <w:t>;</w:t>
      </w:r>
      <w:proofErr w:type="gramEnd"/>
    </w:p>
    <w:p w14:paraId="7F34DB76" w14:textId="77777777" w:rsidR="00F93097" w:rsidRDefault="00F93097" w:rsidP="00F9314B">
      <w:pPr>
        <w:pStyle w:val="BodyTextGrey"/>
        <w:numPr>
          <w:ilvl w:val="0"/>
          <w:numId w:val="25"/>
        </w:numPr>
      </w:pPr>
      <w:r w:rsidRPr="00D56D22">
        <w:t>budget forecasts</w:t>
      </w:r>
      <w:r>
        <w:t>; and/or</w:t>
      </w:r>
    </w:p>
    <w:p w14:paraId="29D432E8" w14:textId="77777777" w:rsidR="00F93097" w:rsidRDefault="00F93097" w:rsidP="00F9314B">
      <w:pPr>
        <w:pStyle w:val="BodyTextGrey"/>
        <w:numPr>
          <w:ilvl w:val="0"/>
          <w:numId w:val="25"/>
        </w:numPr>
      </w:pPr>
      <w:r w:rsidRPr="00D56D22">
        <w:t>information relating to sources of funding</w:t>
      </w:r>
      <w:r>
        <w:t>.</w:t>
      </w:r>
    </w:p>
    <w:p w14:paraId="4CB1BDA1" w14:textId="77777777" w:rsidR="00F93097" w:rsidRDefault="00F93097" w:rsidP="00F93097">
      <w:pPr>
        <w:pStyle w:val="BodyTextGrey"/>
      </w:pPr>
      <w:r>
        <w:t xml:space="preserve">The costs incurred by the Administering Authority in carrying out a contribution review (at the employer’s request) will be met by the employer. These will be confirmed </w:t>
      </w:r>
      <w:r w:rsidRPr="00D56D22">
        <w:t>upfront to the employer prior to the review taking place</w:t>
      </w:r>
      <w:r>
        <w:t>.</w:t>
      </w:r>
    </w:p>
    <w:p w14:paraId="59C4B10A" w14:textId="77777777" w:rsidR="00F93097" w:rsidRDefault="00F93097" w:rsidP="00F93097">
      <w:pPr>
        <w:pStyle w:val="Appendix3"/>
      </w:pPr>
      <w:r>
        <w:t>E5.3 Other employers</w:t>
      </w:r>
    </w:p>
    <w:p w14:paraId="69C8A785" w14:textId="77777777" w:rsidR="00F93097" w:rsidRPr="00FD0A45" w:rsidRDefault="00F93097" w:rsidP="00F93097">
      <w:pPr>
        <w:pStyle w:val="BodyTextGrey"/>
      </w:pPr>
      <w:r w:rsidRPr="00FD0A45">
        <w:t xml:space="preserve">When undertaking </w:t>
      </w:r>
      <w:r>
        <w:t>any review of contributions</w:t>
      </w:r>
      <w:r w:rsidRPr="00FD0A45">
        <w:t xml:space="preserve">, the </w:t>
      </w:r>
      <w:r>
        <w:t>Administering Authority</w:t>
      </w:r>
      <w:r w:rsidRPr="00FD0A45">
        <w:t xml:space="preserve"> will also consider the impact of a change to contribution rates on other </w:t>
      </w:r>
      <w:r>
        <w:t>Fund</w:t>
      </w:r>
      <w:r w:rsidRPr="00FD0A45">
        <w:t xml:space="preserve"> employers. This will include </w:t>
      </w:r>
      <w:r>
        <w:t xml:space="preserve">the following </w:t>
      </w:r>
      <w:r w:rsidRPr="00FD0A45">
        <w:t>factors:</w:t>
      </w:r>
    </w:p>
    <w:p w14:paraId="51CF7FD1" w14:textId="77777777" w:rsidR="00F93097" w:rsidRDefault="00F93097" w:rsidP="00F9314B">
      <w:pPr>
        <w:pStyle w:val="BodyTextGrey"/>
        <w:numPr>
          <w:ilvl w:val="0"/>
          <w:numId w:val="25"/>
        </w:numPr>
      </w:pPr>
      <w:r>
        <w:t xml:space="preserve">The existence of a </w:t>
      </w:r>
      <w:r w:rsidRPr="00FD0A45">
        <w:t>guarantor</w:t>
      </w:r>
      <w:r>
        <w:t>.</w:t>
      </w:r>
    </w:p>
    <w:p w14:paraId="20676159" w14:textId="77777777" w:rsidR="00F93097" w:rsidRDefault="00F93097" w:rsidP="00F9314B">
      <w:pPr>
        <w:pStyle w:val="BodyTextGrey"/>
        <w:numPr>
          <w:ilvl w:val="0"/>
          <w:numId w:val="25"/>
        </w:numPr>
      </w:pPr>
      <w:r>
        <w:t>T</w:t>
      </w:r>
      <w:r w:rsidRPr="00FD0A45">
        <w:t>he amount of any other security held</w:t>
      </w:r>
      <w:r>
        <w:t>.</w:t>
      </w:r>
    </w:p>
    <w:p w14:paraId="390E66CE" w14:textId="77777777" w:rsidR="00F93097" w:rsidRDefault="00F93097" w:rsidP="00F9314B">
      <w:pPr>
        <w:pStyle w:val="BodyTextGrey"/>
        <w:numPr>
          <w:ilvl w:val="0"/>
          <w:numId w:val="25"/>
        </w:numPr>
      </w:pPr>
      <w:r>
        <w:t>T</w:t>
      </w:r>
      <w:r w:rsidRPr="00FD0A45">
        <w:t xml:space="preserve">he size of the employer’s liabilities </w:t>
      </w:r>
      <w:r>
        <w:t>relative to the whole Fund.</w:t>
      </w:r>
    </w:p>
    <w:p w14:paraId="788AADA5" w14:textId="77777777" w:rsidR="00F93097" w:rsidRDefault="00F93097" w:rsidP="00F93097">
      <w:pPr>
        <w:pStyle w:val="BodyTextGrey"/>
      </w:pPr>
      <w:r>
        <w:t>The Administering Authority will consult with other Fund employers as necessary.</w:t>
      </w:r>
    </w:p>
    <w:p w14:paraId="7B3497B6" w14:textId="77777777" w:rsidR="00F93097" w:rsidRPr="001405A0" w:rsidRDefault="00F93097" w:rsidP="00F93097">
      <w:pPr>
        <w:pStyle w:val="Appendix3"/>
        <w:rPr>
          <w:color w:val="45545F"/>
        </w:rPr>
      </w:pPr>
      <w:r>
        <w:t xml:space="preserve">E5.4 Effect of market volatility </w:t>
      </w:r>
    </w:p>
    <w:p w14:paraId="2BAD1C3A" w14:textId="77777777" w:rsidR="00F93097" w:rsidRDefault="00F93097" w:rsidP="00F93097">
      <w:pPr>
        <w:pStyle w:val="BodyTextGrey"/>
        <w:rPr>
          <w:rFonts w:eastAsia="Arial"/>
          <w:color w:val="45545F"/>
        </w:rPr>
      </w:pPr>
      <w:r w:rsidRPr="004B478B">
        <w:rPr>
          <w:color w:val="45545F"/>
        </w:rPr>
        <w:t xml:space="preserve">Except in circumstances such as an employer nearing cessation, the </w:t>
      </w:r>
      <w:r>
        <w:rPr>
          <w:color w:val="45545F"/>
        </w:rPr>
        <w:t>Administering Authority</w:t>
      </w:r>
      <w:r w:rsidRPr="004B478B">
        <w:rPr>
          <w:color w:val="45545F"/>
        </w:rPr>
        <w:t xml:space="preserve"> will not consider </w:t>
      </w:r>
      <w:r>
        <w:rPr>
          <w:color w:val="45545F"/>
        </w:rPr>
        <w:t xml:space="preserve">financial </w:t>
      </w:r>
      <w:r w:rsidRPr="004B478B">
        <w:rPr>
          <w:color w:val="45545F"/>
        </w:rPr>
        <w:t>market volatility or changes to asset values as a basis for a change in contributions outside a formal valuation.</w:t>
      </w:r>
      <w:r w:rsidRPr="004B478B">
        <w:rPr>
          <w:rFonts w:eastAsia="Arial"/>
          <w:color w:val="45545F"/>
        </w:rPr>
        <w:t xml:space="preserve"> </w:t>
      </w:r>
    </w:p>
    <w:p w14:paraId="2B20A155" w14:textId="77777777" w:rsidR="00F93097" w:rsidRDefault="00F93097" w:rsidP="00F93097">
      <w:pPr>
        <w:pStyle w:val="Appendix3"/>
      </w:pPr>
      <w:r>
        <w:t>E5.5 Documentation</w:t>
      </w:r>
    </w:p>
    <w:p w14:paraId="1DD9FF91" w14:textId="77777777" w:rsidR="00F93097" w:rsidRDefault="00F93097" w:rsidP="00F93097">
      <w:pPr>
        <w:pStyle w:val="BodyTextGrey"/>
      </w:pPr>
      <w:r>
        <w:t>Where revisions to contribution rates are necessary, the Fund will provide the employer with a note of the information used to determine these, including:</w:t>
      </w:r>
    </w:p>
    <w:p w14:paraId="4F2E0E4E" w14:textId="77777777" w:rsidR="00F93097" w:rsidRDefault="00F93097" w:rsidP="00F9314B">
      <w:pPr>
        <w:pStyle w:val="BodyTextGrey"/>
        <w:numPr>
          <w:ilvl w:val="0"/>
          <w:numId w:val="25"/>
        </w:numPr>
      </w:pPr>
      <w:r>
        <w:t>Explanation of the key factors leading to the need for a review of the contribution rates, including, if appropriate, the updated funding position.</w:t>
      </w:r>
    </w:p>
    <w:p w14:paraId="34E79BC1" w14:textId="77777777" w:rsidR="00F93097" w:rsidRDefault="00F93097" w:rsidP="00F9314B">
      <w:pPr>
        <w:pStyle w:val="BodyTextGrey"/>
        <w:numPr>
          <w:ilvl w:val="0"/>
          <w:numId w:val="25"/>
        </w:numPr>
      </w:pPr>
      <w:r>
        <w:t>A note of the new contribution rates and effective date of these.</w:t>
      </w:r>
    </w:p>
    <w:p w14:paraId="344F17A7" w14:textId="77777777" w:rsidR="00F93097" w:rsidRDefault="00F93097" w:rsidP="00F9314B">
      <w:pPr>
        <w:pStyle w:val="BodyTextGrey"/>
        <w:numPr>
          <w:ilvl w:val="0"/>
          <w:numId w:val="25"/>
        </w:numPr>
      </w:pPr>
      <w:r>
        <w:t>Date of next review.</w:t>
      </w:r>
    </w:p>
    <w:p w14:paraId="594B21A8" w14:textId="77777777" w:rsidR="00F93097" w:rsidRDefault="00F93097" w:rsidP="00F9314B">
      <w:pPr>
        <w:pStyle w:val="BodyTextGrey"/>
        <w:numPr>
          <w:ilvl w:val="0"/>
          <w:numId w:val="25"/>
        </w:numPr>
      </w:pPr>
      <w:r>
        <w:t xml:space="preserve">Details of any processes in place to monitor any change in the employer’s circumstances (if appropriate), including information required by the Administering Authority to carry out this monitoring. </w:t>
      </w:r>
    </w:p>
    <w:p w14:paraId="32570884" w14:textId="77777777" w:rsidR="00F93097" w:rsidRDefault="00F93097" w:rsidP="00F93097">
      <w:pPr>
        <w:pStyle w:val="BodyTextGrey"/>
      </w:pPr>
      <w:r>
        <w:t>The Rates &amp; Adjustments certificate will be updated to reflect the revised contribution rates.</w:t>
      </w:r>
    </w:p>
    <w:p w14:paraId="4FEE8BAA" w14:textId="2BF7244A" w:rsidR="00F93097" w:rsidRDefault="00F93097" w:rsidP="00DB668C">
      <w:pPr>
        <w:pStyle w:val="Appendix2"/>
      </w:pPr>
      <w:bookmarkStart w:id="113" w:name="_Toc86162860"/>
      <w:r>
        <w:t xml:space="preserve">E6 </w:t>
      </w:r>
      <w:r w:rsidR="007A3DEF">
        <w:tab/>
      </w:r>
      <w:r>
        <w:t>Related Policies</w:t>
      </w:r>
      <w:bookmarkEnd w:id="113"/>
      <w:r w:rsidR="00E52CAD">
        <w:t xml:space="preserve"> </w:t>
      </w:r>
    </w:p>
    <w:p w14:paraId="0D70DF30" w14:textId="77777777" w:rsidR="00F93097" w:rsidRPr="004B2532" w:rsidRDefault="00F93097" w:rsidP="00577D8A">
      <w:pPr>
        <w:pStyle w:val="BodyTextGrey"/>
        <w:rPr>
          <w:bCs/>
        </w:rPr>
      </w:pPr>
      <w:r w:rsidRPr="004B2532">
        <w:t xml:space="preserve">The Fund’s approach to setting employer contribution rates is set out in the Funding Strategy Statement, specifically “Section 2 – </w:t>
      </w:r>
      <w:bookmarkStart w:id="114" w:name="_Toc110255237"/>
      <w:r w:rsidRPr="004B2532">
        <w:t>How does the Fund calculate employer contributions?</w:t>
      </w:r>
      <w:bookmarkEnd w:id="114"/>
      <w:r w:rsidRPr="004B2532">
        <w:t>”.</w:t>
      </w:r>
    </w:p>
    <w:p w14:paraId="2A4159A3" w14:textId="77777777" w:rsidR="00F93097" w:rsidRDefault="00F93097" w:rsidP="002A6F12">
      <w:pPr>
        <w:pStyle w:val="Heading2"/>
      </w:pPr>
      <w:bookmarkStart w:id="115" w:name="_Toc152160464"/>
      <w:r>
        <w:t>Appendix F – Policy on bulk transfers</w:t>
      </w:r>
      <w:bookmarkEnd w:id="115"/>
    </w:p>
    <w:tbl>
      <w:tblPr>
        <w:tblStyle w:val="TableGrid"/>
        <w:tblW w:w="0" w:type="auto"/>
        <w:tblLayout w:type="fixed"/>
        <w:tblLook w:val="04A0" w:firstRow="1" w:lastRow="0" w:firstColumn="1" w:lastColumn="0" w:noHBand="0" w:noVBand="1"/>
      </w:tblPr>
      <w:tblGrid>
        <w:gridCol w:w="3425"/>
        <w:gridCol w:w="3250"/>
      </w:tblGrid>
      <w:tr w:rsidR="00F93097" w14:paraId="299130EF" w14:textId="77777777">
        <w:trPr>
          <w:trHeight w:val="301"/>
        </w:trPr>
        <w:tc>
          <w:tcPr>
            <w:tcW w:w="3425" w:type="dxa"/>
          </w:tcPr>
          <w:p w14:paraId="281882A8" w14:textId="77777777" w:rsidR="00F93097" w:rsidRPr="007C2164" w:rsidRDefault="00F93097">
            <w:pPr>
              <w:pStyle w:val="BodyTextGrey"/>
              <w:spacing w:after="0"/>
            </w:pPr>
            <w:r w:rsidRPr="007C2164">
              <w:t>Effective date of policy</w:t>
            </w:r>
          </w:p>
        </w:tc>
        <w:tc>
          <w:tcPr>
            <w:tcW w:w="3250" w:type="dxa"/>
          </w:tcPr>
          <w:p w14:paraId="4F592299" w14:textId="77777777" w:rsidR="00F93097" w:rsidRPr="007C2164" w:rsidRDefault="00F93097">
            <w:pPr>
              <w:pStyle w:val="BodyTextGrey"/>
              <w:spacing w:after="0"/>
            </w:pPr>
            <w:r>
              <w:t>01 April 2024</w:t>
            </w:r>
          </w:p>
        </w:tc>
      </w:tr>
      <w:tr w:rsidR="00F93097" w14:paraId="4ED81CAE" w14:textId="77777777">
        <w:trPr>
          <w:trHeight w:val="301"/>
        </w:trPr>
        <w:tc>
          <w:tcPr>
            <w:tcW w:w="3425" w:type="dxa"/>
          </w:tcPr>
          <w:p w14:paraId="420F0323" w14:textId="77777777" w:rsidR="00F93097" w:rsidRPr="007C2164" w:rsidRDefault="00F93097">
            <w:pPr>
              <w:pStyle w:val="BodyTextGrey"/>
              <w:spacing w:after="0"/>
            </w:pPr>
            <w:r w:rsidRPr="007C2164">
              <w:t>Date approved</w:t>
            </w:r>
          </w:p>
        </w:tc>
        <w:tc>
          <w:tcPr>
            <w:tcW w:w="3250" w:type="dxa"/>
          </w:tcPr>
          <w:p w14:paraId="54F82609" w14:textId="77777777" w:rsidR="00F93097" w:rsidRPr="007C2164" w:rsidRDefault="00F93097">
            <w:pPr>
              <w:pStyle w:val="BodyTextGrey"/>
              <w:spacing w:after="0"/>
            </w:pPr>
            <w:r>
              <w:t>28 March 2024</w:t>
            </w:r>
          </w:p>
        </w:tc>
      </w:tr>
      <w:tr w:rsidR="00F93097" w14:paraId="190A6BC5" w14:textId="77777777">
        <w:trPr>
          <w:trHeight w:val="301"/>
        </w:trPr>
        <w:tc>
          <w:tcPr>
            <w:tcW w:w="3425" w:type="dxa"/>
          </w:tcPr>
          <w:p w14:paraId="53D13140" w14:textId="77777777" w:rsidR="00F93097" w:rsidRPr="007C2164" w:rsidRDefault="00F93097">
            <w:pPr>
              <w:pStyle w:val="BodyTextGrey"/>
              <w:spacing w:after="0"/>
            </w:pPr>
            <w:r w:rsidRPr="007C2164">
              <w:t>Next review</w:t>
            </w:r>
          </w:p>
        </w:tc>
        <w:tc>
          <w:tcPr>
            <w:tcW w:w="3250" w:type="dxa"/>
          </w:tcPr>
          <w:p w14:paraId="1B5B4FA0" w14:textId="77777777" w:rsidR="00F93097" w:rsidRPr="007C2164" w:rsidRDefault="00F93097">
            <w:pPr>
              <w:pStyle w:val="BodyTextGrey"/>
              <w:spacing w:after="0"/>
            </w:pPr>
            <w:r>
              <w:t>2026</w:t>
            </w:r>
          </w:p>
        </w:tc>
      </w:tr>
    </w:tbl>
    <w:p w14:paraId="6C2DB97F" w14:textId="77777777" w:rsidR="00F93097" w:rsidRDefault="00F93097" w:rsidP="002A6F12">
      <w:pPr>
        <w:pStyle w:val="Heading3"/>
      </w:pPr>
      <w:r>
        <w:t>Introduction</w:t>
      </w:r>
    </w:p>
    <w:p w14:paraId="31321CD2" w14:textId="77777777" w:rsidR="00F93097" w:rsidRDefault="00F93097" w:rsidP="00F93097">
      <w:pPr>
        <w:pStyle w:val="BodyTextGrey"/>
      </w:pPr>
      <w:r>
        <w:t>The purpose of this policy is to set out the administering authority’s approach to dealing with the bulk transfer of scheme member pension rights into and out of the fund in prescribed circumstances.</w:t>
      </w:r>
    </w:p>
    <w:p w14:paraId="6A887C7A" w14:textId="77777777" w:rsidR="00F93097" w:rsidRDefault="00F93097" w:rsidP="00F93097">
      <w:pPr>
        <w:pStyle w:val="BodyTextGrey"/>
      </w:pPr>
      <w:r>
        <w:t xml:space="preserve">It should be noted that this statement is not </w:t>
      </w:r>
      <w:proofErr w:type="gramStart"/>
      <w:r>
        <w:t>exhaustive</w:t>
      </w:r>
      <w:proofErr w:type="gramEnd"/>
      <w:r>
        <w:t xml:space="preserve"> and individual circumstances may be taken into consideration where appropriate.</w:t>
      </w:r>
    </w:p>
    <w:p w14:paraId="111C4C82" w14:textId="71D723C5" w:rsidR="00F93097" w:rsidRDefault="00F93097" w:rsidP="00DB668C">
      <w:pPr>
        <w:pStyle w:val="Appendix2"/>
      </w:pPr>
      <w:r>
        <w:t xml:space="preserve">F1 </w:t>
      </w:r>
      <w:r w:rsidR="00317721">
        <w:tab/>
      </w:r>
      <w:r>
        <w:t>Aims and Objectives</w:t>
      </w:r>
    </w:p>
    <w:p w14:paraId="05AFD831" w14:textId="77777777" w:rsidR="00F93097" w:rsidRDefault="00F93097" w:rsidP="00F93097">
      <w:pPr>
        <w:pStyle w:val="BodyTextGrey"/>
      </w:pPr>
      <w:r>
        <w:t>The administering authority’s aims and objectives related to this policy are as follows:</w:t>
      </w:r>
    </w:p>
    <w:p w14:paraId="460595C9" w14:textId="77777777" w:rsidR="00F93097" w:rsidRDefault="00F93097" w:rsidP="00F9314B">
      <w:pPr>
        <w:pStyle w:val="BodyTextGrey"/>
        <w:numPr>
          <w:ilvl w:val="0"/>
          <w:numId w:val="26"/>
        </w:numPr>
      </w:pPr>
      <w:r>
        <w:t>Bulk transfers out of the fund do not allow a deficit to remain behind unless a scheme employer is committed to repairing this; and</w:t>
      </w:r>
    </w:p>
    <w:p w14:paraId="5F500C85" w14:textId="77777777" w:rsidR="00F93097" w:rsidRDefault="00F93097" w:rsidP="00F9314B">
      <w:pPr>
        <w:pStyle w:val="BodyTextGrey"/>
        <w:numPr>
          <w:ilvl w:val="0"/>
          <w:numId w:val="26"/>
        </w:numPr>
      </w:pPr>
      <w:r>
        <w:t xml:space="preserve">Bulk transfers received by the fund must be sufficient to pay for the added benefits being awarded to the members, again with the scheme employer making good any shortfall where necessary. </w:t>
      </w:r>
    </w:p>
    <w:p w14:paraId="1CFD359E" w14:textId="77777777" w:rsidR="00F93097" w:rsidRDefault="00F93097" w:rsidP="00F93097">
      <w:pPr>
        <w:pStyle w:val="BodyTextGrey"/>
      </w:pPr>
      <w:r>
        <w:t>Bulk transfer requests will be considered on a case-by-case basis.</w:t>
      </w:r>
    </w:p>
    <w:p w14:paraId="38FEA612" w14:textId="65841F18" w:rsidR="00F93097" w:rsidRPr="00527BE4" w:rsidRDefault="00F93097" w:rsidP="00DB668C">
      <w:pPr>
        <w:pStyle w:val="Appendix2"/>
      </w:pPr>
      <w:r>
        <w:t xml:space="preserve">F2 </w:t>
      </w:r>
      <w:r w:rsidR="00317721">
        <w:tab/>
      </w:r>
      <w:r w:rsidRPr="00527BE4">
        <w:t>Background</w:t>
      </w:r>
    </w:p>
    <w:p w14:paraId="1C35D8CF" w14:textId="77777777" w:rsidR="00F93097" w:rsidRDefault="00F93097" w:rsidP="00F93097">
      <w:pPr>
        <w:pStyle w:val="BodyTextGrey"/>
      </w:pPr>
      <w:r>
        <w:t xml:space="preserve">Bulk transfers into and out of the fund can occur for a variety of reasons, such as: </w:t>
      </w:r>
    </w:p>
    <w:p w14:paraId="58CB2FA0" w14:textId="77777777" w:rsidR="00F93097" w:rsidRDefault="00F93097" w:rsidP="00F9314B">
      <w:pPr>
        <w:pStyle w:val="BodyTextGrey"/>
        <w:numPr>
          <w:ilvl w:val="0"/>
          <w:numId w:val="31"/>
        </w:numPr>
      </w:pPr>
      <w:r>
        <w:t xml:space="preserve">where an outsourcing arrangement is entered into </w:t>
      </w:r>
      <w:proofErr w:type="spellStart"/>
      <w:r>
        <w:t>and</w:t>
      </w:r>
      <w:proofErr w:type="spellEnd"/>
      <w:r>
        <w:t xml:space="preserve"> active fund members join another LGPS fund, or leave the LGPS to join a broadly comparable </w:t>
      </w:r>
      <w:proofErr w:type="gramStart"/>
      <w:r>
        <w:t>scheme;</w:t>
      </w:r>
      <w:proofErr w:type="gramEnd"/>
      <w:r>
        <w:t xml:space="preserve"> </w:t>
      </w:r>
    </w:p>
    <w:p w14:paraId="05EEF055" w14:textId="77777777" w:rsidR="00F93097" w:rsidRDefault="00F93097" w:rsidP="00F9314B">
      <w:pPr>
        <w:pStyle w:val="BodyTextGrey"/>
        <w:numPr>
          <w:ilvl w:val="0"/>
          <w:numId w:val="31"/>
        </w:numPr>
      </w:pPr>
      <w:r>
        <w:t xml:space="preserve">where an outsourcing arrangement ceases and active scheme members re-join the Fund from another LGPS fund or a broadly comparable </w:t>
      </w:r>
      <w:proofErr w:type="gramStart"/>
      <w:r>
        <w:t>scheme;</w:t>
      </w:r>
      <w:proofErr w:type="gramEnd"/>
      <w:r>
        <w:t xml:space="preserve"> </w:t>
      </w:r>
    </w:p>
    <w:p w14:paraId="3A86B33D" w14:textId="77777777" w:rsidR="00F93097" w:rsidRDefault="00F93097" w:rsidP="00F9314B">
      <w:pPr>
        <w:pStyle w:val="BodyTextGrey"/>
        <w:numPr>
          <w:ilvl w:val="0"/>
          <w:numId w:val="31"/>
        </w:numPr>
      </w:pPr>
      <w:r>
        <w:t>where there is a reorganisation of central government operations (transfers in from, or out to, other government sponsored schemes</w:t>
      </w:r>
      <w:proofErr w:type="gramStart"/>
      <w:r>
        <w:t>);</w:t>
      </w:r>
      <w:proofErr w:type="gramEnd"/>
      <w:r>
        <w:t xml:space="preserve">  </w:t>
      </w:r>
    </w:p>
    <w:p w14:paraId="5C96F424" w14:textId="77777777" w:rsidR="00F93097" w:rsidRDefault="00F93097" w:rsidP="00F9314B">
      <w:pPr>
        <w:pStyle w:val="BodyTextGrey"/>
        <w:numPr>
          <w:ilvl w:val="0"/>
          <w:numId w:val="31"/>
        </w:numPr>
      </w:pPr>
      <w:r>
        <w:t xml:space="preserve">where there is a reorganisation or consolidation of local operations (brought about by, for example, local government shared services or college mergers); or </w:t>
      </w:r>
    </w:p>
    <w:p w14:paraId="2620DFC6" w14:textId="77777777" w:rsidR="00F93097" w:rsidRDefault="00F93097" w:rsidP="00F9314B">
      <w:pPr>
        <w:pStyle w:val="BodyTextGrey"/>
        <w:numPr>
          <w:ilvl w:val="0"/>
          <w:numId w:val="31"/>
        </w:numPr>
      </w:pPr>
      <w:r>
        <w:t xml:space="preserve">a national restructuring resulting in the admission of an employer whose employees have LGPS service in another LGPS fund, or vice versa. </w:t>
      </w:r>
    </w:p>
    <w:p w14:paraId="56356879" w14:textId="77777777" w:rsidR="00F93097" w:rsidRDefault="00F93097" w:rsidP="00F93097">
      <w:pPr>
        <w:pStyle w:val="BodyTextGrey"/>
      </w:pPr>
      <w:r>
        <w:t xml:space="preserve">Unlike bulk transfers out of the LGPS, there is no specific provision to allow for bulk transfers into the LGPS.  As a result, any transfer value received into the LGPS, whether on the voluntary movement of an individual or the compulsory transfer of </w:t>
      </w:r>
      <w:proofErr w:type="gramStart"/>
      <w:r>
        <w:t>a number of</w:t>
      </w:r>
      <w:proofErr w:type="gramEnd"/>
      <w:r>
        <w:t xml:space="preserve"> employees, must be treated the same way as individual transfers. </w:t>
      </w:r>
    </w:p>
    <w:p w14:paraId="59F5D6FA" w14:textId="18A9D687" w:rsidR="00F93097" w:rsidRPr="00F90E63" w:rsidRDefault="00F93097" w:rsidP="00DB668C">
      <w:pPr>
        <w:pStyle w:val="Appendix2"/>
      </w:pPr>
      <w:bookmarkStart w:id="116" w:name="_Toc86052002"/>
      <w:r>
        <w:t xml:space="preserve">F3 </w:t>
      </w:r>
      <w:r w:rsidR="00317721">
        <w:tab/>
      </w:r>
      <w:r w:rsidRPr="00F90E63">
        <w:t>Guidance and regulatory framework</w:t>
      </w:r>
      <w:bookmarkEnd w:id="116"/>
      <w:r w:rsidRPr="00F90E63">
        <w:t xml:space="preserve"> </w:t>
      </w:r>
    </w:p>
    <w:p w14:paraId="474519AC" w14:textId="77777777" w:rsidR="00F93097" w:rsidRDefault="00F93097" w:rsidP="00317721">
      <w:pPr>
        <w:pStyle w:val="Appendix2"/>
        <w:ind w:firstLine="0"/>
      </w:pPr>
      <w:r>
        <w:t xml:space="preserve">F3.1 </w:t>
      </w:r>
      <w:r w:rsidRPr="00527BE4">
        <w:t>Local Government Pension Scheme Regulations</w:t>
      </w:r>
    </w:p>
    <w:p w14:paraId="40F6C80E" w14:textId="77777777" w:rsidR="00F93097" w:rsidRDefault="00F93097" w:rsidP="00F93097">
      <w:pPr>
        <w:pStyle w:val="BodyTextGrey"/>
      </w:pPr>
      <w:r>
        <w:t>When considering any circumstances involving bulk transfer provisions, the administering authority will always ensure adherence to any overriding requirements set out in the Local Government Pension Scheme (Scotland) Regulations 2018 (as amended), including:</w:t>
      </w:r>
    </w:p>
    <w:p w14:paraId="5665A27E" w14:textId="77777777" w:rsidR="00F93097" w:rsidRDefault="00F93097" w:rsidP="00F9314B">
      <w:pPr>
        <w:pStyle w:val="BodyTextGrey"/>
        <w:numPr>
          <w:ilvl w:val="0"/>
          <w:numId w:val="27"/>
        </w:numPr>
      </w:pPr>
      <w:r>
        <w:t>Regulation 93 – applies on transfer out to non-LGPS schemes. It allows for the payment of a bulk transfer value where at least two active members of the LGPS cease scheme membership and join another approved pension arrangement.</w:t>
      </w:r>
    </w:p>
    <w:p w14:paraId="14179AB6" w14:textId="77777777" w:rsidR="00F93097" w:rsidRDefault="00F93097" w:rsidP="00F9314B">
      <w:pPr>
        <w:pStyle w:val="BodyTextGrey"/>
        <w:numPr>
          <w:ilvl w:val="0"/>
          <w:numId w:val="27"/>
        </w:numPr>
      </w:pPr>
      <w:r>
        <w:t>Regulation 94 - gives the LGPS actuary discretion as to the choice of method of calculation used to calculate the bulk transfer value.</w:t>
      </w:r>
    </w:p>
    <w:p w14:paraId="6896F0E9" w14:textId="77777777" w:rsidR="00F93097" w:rsidRDefault="00F93097" w:rsidP="00F9314B">
      <w:pPr>
        <w:pStyle w:val="BodyTextGrey"/>
        <w:numPr>
          <w:ilvl w:val="0"/>
          <w:numId w:val="27"/>
        </w:numPr>
      </w:pPr>
      <w:r>
        <w:t xml:space="preserve">Regulation 95 – allows an individual who holds relevant pension rights under a previous employer to request to be admitted for past service into the LGPS.  Members wishing to transfer in accrued rights from a </w:t>
      </w:r>
      <w:hyperlink r:id="rId22" w:history="1">
        <w:r w:rsidRPr="00A42EBE">
          <w:rPr>
            <w:rStyle w:val="Hyperlink"/>
          </w:rPr>
          <w:t>Club scheme</w:t>
        </w:r>
      </w:hyperlink>
      <w:r>
        <w:t xml:space="preserve"> (that is schemes with benefits broadly similar to those of the LGPS), who request to do so within 12 months of joining their new LGPS employment, must be granted their request.   For members with “non-Club” accrued rights the LGPS fund does not have to grant the request.  Any request must be received in writing from the individual within 12 months of active employment commencing or longer at the discretion of the employer and the administering authority. </w:t>
      </w:r>
    </w:p>
    <w:p w14:paraId="01A50EB6" w14:textId="77777777" w:rsidR="00F93097" w:rsidRDefault="00F93097" w:rsidP="00F9314B">
      <w:pPr>
        <w:pStyle w:val="BodyTextGrey"/>
        <w:numPr>
          <w:ilvl w:val="0"/>
          <w:numId w:val="27"/>
        </w:numPr>
      </w:pPr>
      <w:r>
        <w:t xml:space="preserve">Regulation 97 - states that any transfer between one LGPS fund and another LGPS fund where 10 or more members elect to transfer will trigger bulk transfer negotiations between Fund actuaries. </w:t>
      </w:r>
    </w:p>
    <w:p w14:paraId="34321D75" w14:textId="77777777" w:rsidR="00F93097" w:rsidRPr="001D274A" w:rsidRDefault="00F93097" w:rsidP="00317721">
      <w:pPr>
        <w:pStyle w:val="Appendix2"/>
        <w:ind w:firstLine="0"/>
      </w:pPr>
      <w:r>
        <w:t xml:space="preserve">F3.2 </w:t>
      </w:r>
      <w:r w:rsidRPr="001D274A">
        <w:t>Local Authorities</w:t>
      </w:r>
    </w:p>
    <w:p w14:paraId="01A0D3F8" w14:textId="77777777" w:rsidR="00F93097" w:rsidRPr="001D274A" w:rsidRDefault="00F93097" w:rsidP="00F93097">
      <w:pPr>
        <w:pStyle w:val="BodyTextGrey"/>
      </w:pPr>
      <w:hyperlink r:id="rId23" w:history="1">
        <w:r w:rsidRPr="001D274A">
          <w:rPr>
            <w:rStyle w:val="Hyperlink"/>
          </w:rPr>
          <w:t>The Statutory Guidance to Local Authorities on Contracting</w:t>
        </w:r>
      </w:hyperlink>
      <w:r w:rsidRPr="001D274A">
        <w:t xml:space="preserve">, which came into force on 10 August 2006, applies to contracting by local authorities and to any exercise which involves the consideration of a change of service provider or where the transfer of local authority staff is at issue. The statutory guidance: </w:t>
      </w:r>
    </w:p>
    <w:p w14:paraId="11F0947F" w14:textId="77777777" w:rsidR="00F93097" w:rsidRPr="001D274A" w:rsidRDefault="00F93097" w:rsidP="00F9314B">
      <w:pPr>
        <w:pStyle w:val="BodyTextGrey"/>
        <w:numPr>
          <w:ilvl w:val="0"/>
          <w:numId w:val="28"/>
        </w:numPr>
      </w:pPr>
      <w:r w:rsidRPr="001D274A">
        <w:t>requires the contractor to secure pension protection for each transferring employee through the provision of pension rights that are the same as or are broadly comparable to or better than those they had as an employee of the authority</w:t>
      </w:r>
    </w:p>
    <w:p w14:paraId="557D7B3B" w14:textId="77777777" w:rsidR="00F93097" w:rsidRPr="001D274A" w:rsidRDefault="00F93097" w:rsidP="00F9314B">
      <w:pPr>
        <w:pStyle w:val="BodyTextGrey"/>
        <w:numPr>
          <w:ilvl w:val="0"/>
          <w:numId w:val="28"/>
        </w:numPr>
      </w:pPr>
      <w:r w:rsidRPr="001D274A">
        <w:t>where a broadly comparable scheme is provided, the new employer’s pension scheme should allow transferring employees the option of moving their accrued credits into that scheme on a fully protected basis, and</w:t>
      </w:r>
    </w:p>
    <w:p w14:paraId="49ED5EC6" w14:textId="77777777" w:rsidR="00F93097" w:rsidRPr="001D274A" w:rsidRDefault="00F93097" w:rsidP="00F9314B">
      <w:pPr>
        <w:pStyle w:val="BodyTextGrey"/>
        <w:numPr>
          <w:ilvl w:val="0"/>
          <w:numId w:val="28"/>
        </w:numPr>
      </w:pPr>
      <w:r w:rsidRPr="001D274A">
        <w:t xml:space="preserve">provides that the provision of pension protection is enforceable by the employee. </w:t>
      </w:r>
    </w:p>
    <w:p w14:paraId="3259B1B0" w14:textId="77777777" w:rsidR="00F93097" w:rsidRDefault="00F93097" w:rsidP="00F93097">
      <w:pPr>
        <w:pStyle w:val="BodyTextGrey"/>
      </w:pPr>
      <w:r w:rsidRPr="001D274A">
        <w:t>The Guidance also requires similar pension protection in relation to those former employees of an authority, who were transferred under TUPE to a contractor, in respect of any re-tendering of a contract for the provision of services (i.e. second and subsequent rounds of outsourcing).</w:t>
      </w:r>
      <w:r>
        <w:t xml:space="preserve"> </w:t>
      </w:r>
    </w:p>
    <w:p w14:paraId="36028C06" w14:textId="77777777" w:rsidR="00F93097" w:rsidRPr="00352427" w:rsidRDefault="00F93097" w:rsidP="00F93097">
      <w:pPr>
        <w:pStyle w:val="BodyTextGrey"/>
      </w:pPr>
      <w:r>
        <w:rPr>
          <w:rStyle w:val="ui-provider"/>
        </w:rPr>
        <w:t xml:space="preserve">Where the service provider recruits or allocates staff to work on a local authority contract alongside employees transferred from the local authority, all new recruits should be offered access to pension provision which, where applicable, can be equated broadly comparable to that enjoyed by originally transferred local authority employees. </w:t>
      </w:r>
    </w:p>
    <w:p w14:paraId="1AC288EA" w14:textId="77777777" w:rsidR="00F93097" w:rsidRDefault="00F93097" w:rsidP="00317721">
      <w:pPr>
        <w:pStyle w:val="Appendix2"/>
        <w:ind w:firstLine="0"/>
      </w:pPr>
      <w:r>
        <w:t>F3.3 Other employers</w:t>
      </w:r>
    </w:p>
    <w:p w14:paraId="340B3E78" w14:textId="77777777" w:rsidR="00F93097" w:rsidRDefault="00F93097" w:rsidP="00F93097">
      <w:pPr>
        <w:pStyle w:val="BodyTextGrey"/>
      </w:pPr>
      <w:r>
        <w:t xml:space="preserve">For all scheme employers that do not fall under the statutory guidance there is no explicit requirement to provide pension protection on the outsourcing or insourcing of services. However, any successful contractor is free to seek admission body status in the fund, subject to complying with the administering authority’s requirements (e.g. having a bond or guarantor in place). </w:t>
      </w:r>
    </w:p>
    <w:p w14:paraId="2E6843AF" w14:textId="77777777" w:rsidR="00F93097" w:rsidRDefault="00F93097" w:rsidP="00F93097">
      <w:pPr>
        <w:pStyle w:val="BodyTextGrey"/>
      </w:pPr>
      <w:r w:rsidRPr="00CB2759">
        <w:t xml:space="preserve">In the absence of a bulk transfer agreement the administering authority would not expect to pay out more than individual Cash Equivalent Transfer Value (CETV) amounts, in accordance with appropriate </w:t>
      </w:r>
      <w:hyperlink r:id="rId24" w:anchor="gad-staff-transfers" w:history="1">
        <w:r w:rsidRPr="00CB2759">
          <w:rPr>
            <w:rStyle w:val="Hyperlink"/>
          </w:rPr>
          <w:t>Government Actuary’s Department (GAD) guidance</w:t>
        </w:r>
      </w:hyperlink>
      <w:r w:rsidRPr="00CB2759">
        <w:t>.</w:t>
      </w:r>
    </w:p>
    <w:p w14:paraId="70F94BFD" w14:textId="4697C7B8" w:rsidR="00F93097" w:rsidRDefault="00F93097" w:rsidP="00DB668C">
      <w:pPr>
        <w:pStyle w:val="Appendix2"/>
      </w:pPr>
      <w:bookmarkStart w:id="117" w:name="_Toc86052003"/>
      <w:r>
        <w:t xml:space="preserve">F4 </w:t>
      </w:r>
      <w:r w:rsidR="00317721">
        <w:tab/>
      </w:r>
      <w:r>
        <w:t>Statement of principles</w:t>
      </w:r>
      <w:bookmarkEnd w:id="117"/>
      <w:r>
        <w:t xml:space="preserve"> </w:t>
      </w:r>
    </w:p>
    <w:p w14:paraId="26E52AB0" w14:textId="77777777" w:rsidR="00F93097" w:rsidRPr="00B93548" w:rsidRDefault="00F93097" w:rsidP="00F93097">
      <w:pPr>
        <w:pStyle w:val="BodyTextGrey"/>
      </w:pPr>
      <w:r>
        <w:t>This statement of principles covers bulk transfer payments into and out of the fund.  Each case will be treated on its own merits</w:t>
      </w:r>
      <w:r w:rsidRPr="001E2CD9">
        <w:t xml:space="preserve"> </w:t>
      </w:r>
      <w:r>
        <w:t>alongside appropriate actuarial advice, but in general:</w:t>
      </w:r>
    </w:p>
    <w:p w14:paraId="40A36C7E" w14:textId="77777777" w:rsidR="00F93097" w:rsidRDefault="00F93097" w:rsidP="00F9314B">
      <w:pPr>
        <w:pStyle w:val="BodyTextGrey"/>
        <w:numPr>
          <w:ilvl w:val="0"/>
          <w:numId w:val="30"/>
        </w:numPr>
        <w:ind w:left="357" w:hanging="357"/>
      </w:pPr>
      <w:r>
        <w:t>Where a group of active scheme members joins (or leaves) the fund, the administering authority’s objective is to ensure that sufficient assets are received (or paid out) to meet the cost of providing those benefits.</w:t>
      </w:r>
    </w:p>
    <w:p w14:paraId="5885ED59" w14:textId="77777777" w:rsidR="00F93097" w:rsidRDefault="00F93097" w:rsidP="00F9314B">
      <w:pPr>
        <w:pStyle w:val="BodyTextGrey"/>
        <w:numPr>
          <w:ilvl w:val="0"/>
          <w:numId w:val="30"/>
        </w:numPr>
        <w:ind w:left="357" w:hanging="357"/>
      </w:pPr>
      <w:r>
        <w:t>Ordinarily the administering authority’s default approach for bulk transfers out (or in) will be to propose (or accept) that the transfer value is calculated using ongoing assumptions based on the employer’s share of fund assets (capped at 100% of the value of the liabilities).  The fund will retain the discretion to amend the bulk transfer basis to reflect the specific circumstances of each transfer – including (but not restricted to):</w:t>
      </w:r>
    </w:p>
    <w:p w14:paraId="24EF456D" w14:textId="77777777" w:rsidR="00F93097" w:rsidRDefault="00F93097" w:rsidP="00F9314B">
      <w:pPr>
        <w:pStyle w:val="BodyTextGrey"/>
        <w:numPr>
          <w:ilvl w:val="0"/>
          <w:numId w:val="32"/>
        </w:numPr>
      </w:pPr>
      <w:r>
        <w:t xml:space="preserve">the use of cessation assumptions where unsecured liabilities are being left </w:t>
      </w:r>
      <w:proofErr w:type="gramStart"/>
      <w:r>
        <w:t>behind;</w:t>
      </w:r>
      <w:proofErr w:type="gramEnd"/>
    </w:p>
    <w:p w14:paraId="0A473520" w14:textId="77777777" w:rsidR="00F93097" w:rsidRDefault="00F93097" w:rsidP="00F9314B">
      <w:pPr>
        <w:pStyle w:val="BodyTextGrey"/>
        <w:numPr>
          <w:ilvl w:val="0"/>
          <w:numId w:val="32"/>
        </w:numPr>
      </w:pPr>
      <w:r>
        <w:t>w</w:t>
      </w:r>
      <w:r w:rsidRPr="00B93548">
        <w:t xml:space="preserve">here a subset of an employer’s membership is transferring (in or out), the Fund </w:t>
      </w:r>
      <w:r>
        <w:t xml:space="preserve">may consider an approach of </w:t>
      </w:r>
      <w:r w:rsidRPr="00B93548">
        <w:t>calculat</w:t>
      </w:r>
      <w:r>
        <w:t>ing the bulk transfer payment</w:t>
      </w:r>
      <w:r w:rsidRPr="00B93548">
        <w:t xml:space="preserve"> as the sum of </w:t>
      </w:r>
      <w:r>
        <w:t xml:space="preserve">CETVs </w:t>
      </w:r>
      <w:r w:rsidRPr="00B93548">
        <w:t>for the members concerned</w:t>
      </w:r>
      <w:r>
        <w:t>; or</w:t>
      </w:r>
    </w:p>
    <w:p w14:paraId="68CDCDE3" w14:textId="77777777" w:rsidR="00F93097" w:rsidRDefault="00F93097" w:rsidP="00F9314B">
      <w:pPr>
        <w:pStyle w:val="BodyTextGrey"/>
        <w:numPr>
          <w:ilvl w:val="0"/>
          <w:numId w:val="32"/>
        </w:numPr>
      </w:pPr>
      <w:r>
        <w:t>where transfer terms are subject to commercial factors.</w:t>
      </w:r>
    </w:p>
    <w:p w14:paraId="3A605F52" w14:textId="77777777" w:rsidR="00F93097" w:rsidRDefault="00F93097" w:rsidP="00F9314B">
      <w:pPr>
        <w:pStyle w:val="BodyTextGrey"/>
        <w:numPr>
          <w:ilvl w:val="0"/>
          <w:numId w:val="30"/>
        </w:numPr>
        <w:ind w:left="360"/>
      </w:pPr>
      <w:r w:rsidRPr="002E602D">
        <w:t xml:space="preserve">Where an entire employer is transferring in or out of the </w:t>
      </w:r>
      <w:r>
        <w:t>f</w:t>
      </w:r>
      <w:r w:rsidRPr="002E602D">
        <w:t xml:space="preserve">und the bulk transfer should equal the asset share of the employer in the transferring </w:t>
      </w:r>
      <w:r>
        <w:t>f</w:t>
      </w:r>
      <w:r w:rsidRPr="002E602D">
        <w:t>und regardless of whether this is greater or lesser than the value of past service liabilities for members</w:t>
      </w:r>
      <w:r>
        <w:t>.</w:t>
      </w:r>
      <w:r w:rsidRPr="002E602D">
        <w:t xml:space="preserve"> </w:t>
      </w:r>
    </w:p>
    <w:p w14:paraId="1E35AF2C" w14:textId="77777777" w:rsidR="00F93097" w:rsidRDefault="00F93097" w:rsidP="00F9314B">
      <w:pPr>
        <w:pStyle w:val="BodyTextGrey"/>
        <w:numPr>
          <w:ilvl w:val="0"/>
          <w:numId w:val="30"/>
        </w:numPr>
        <w:ind w:left="360"/>
      </w:pPr>
      <w:r>
        <w:t xml:space="preserve">There may be situations where the fund accepts a transfer in amount which is less than required to fully fund the transferred in benefits on the fund’s ongoing basis (e.g. where the employer has suitable strength of covenant and commits to meeting that shortfall over an appropriate period).  In such cases the administering authority reserves the right to require the receiving employer to fund this shortfall (either by lump sum or by increasing in ongoing employer contributions) ahead of the next formal valuation.  </w:t>
      </w:r>
    </w:p>
    <w:p w14:paraId="0C8DF16C" w14:textId="77777777" w:rsidR="00F93097" w:rsidRDefault="00F93097" w:rsidP="00F9314B">
      <w:pPr>
        <w:pStyle w:val="BodyTextGrey"/>
        <w:numPr>
          <w:ilvl w:val="0"/>
          <w:numId w:val="30"/>
        </w:numPr>
        <w:ind w:left="360"/>
      </w:pPr>
      <w:r>
        <w:t xml:space="preserve">Any shortfall between the bulk transfer payable by the fund and that which the receiving scheme is prepared to accept must be dealt with outside of the fund, for example by a top up from the employer to the receiving scheme or through higher ongoing contributions to that scheme. </w:t>
      </w:r>
    </w:p>
    <w:p w14:paraId="3C7365D2" w14:textId="77777777" w:rsidR="00F93097" w:rsidRDefault="00F93097" w:rsidP="00F9314B">
      <w:pPr>
        <w:pStyle w:val="BodyTextGrey"/>
        <w:numPr>
          <w:ilvl w:val="0"/>
          <w:numId w:val="29"/>
        </w:numPr>
        <w:ind w:left="360"/>
      </w:pPr>
      <w:r>
        <w:t>Service credits granted to transferring scheme members should fully reflect the value of the benefits being transferred, irrespective of the size of the transfer value paid or received.</w:t>
      </w:r>
    </w:p>
    <w:p w14:paraId="3215FBDC" w14:textId="47D5AD0B" w:rsidR="00F93097" w:rsidRDefault="00F93097" w:rsidP="00DB668C">
      <w:pPr>
        <w:pStyle w:val="Appendix2"/>
      </w:pPr>
      <w:bookmarkStart w:id="118" w:name="_Toc86052005"/>
      <w:r>
        <w:t xml:space="preserve">F5 </w:t>
      </w:r>
      <w:r w:rsidR="00317721">
        <w:tab/>
      </w:r>
      <w:r>
        <w:t>Policy</w:t>
      </w:r>
      <w:bookmarkEnd w:id="118"/>
    </w:p>
    <w:p w14:paraId="106C0735" w14:textId="77777777" w:rsidR="00F93097" w:rsidRDefault="00F93097" w:rsidP="00F93097">
      <w:pPr>
        <w:pStyle w:val="BodyTextGrey"/>
      </w:pPr>
      <w:r>
        <w:t xml:space="preserve">The following summarises the various scenarios for bulk transfers in or out of the fund, together with the Administering Authority’s associated policies. </w:t>
      </w:r>
    </w:p>
    <w:p w14:paraId="1B5D3F64" w14:textId="77777777" w:rsidR="00F93097" w:rsidRDefault="00F93097" w:rsidP="00F93097">
      <w:pPr>
        <w:spacing w:after="20"/>
        <w:rPr>
          <w:b/>
          <w:color w:val="70AD47" w:themeColor="accent6"/>
          <w:lang w:eastAsia="en-US"/>
        </w:rPr>
      </w:pPr>
      <w:r>
        <w:br w:type="page"/>
      </w:r>
    </w:p>
    <w:p w14:paraId="6355AF93" w14:textId="77777777" w:rsidR="00F93097" w:rsidRDefault="00F93097" w:rsidP="00317721">
      <w:pPr>
        <w:pStyle w:val="Heading4"/>
      </w:pPr>
      <w:r>
        <w:t xml:space="preserve">F5.1 </w:t>
      </w:r>
      <w:r w:rsidRPr="007F56D6">
        <w:t>Inter-fund transfer (transfer between the fund and another LGPS fund)</w:t>
      </w:r>
    </w:p>
    <w:tbl>
      <w:tblPr>
        <w:tblStyle w:val="TableGrid0"/>
        <w:tblW w:w="9770" w:type="dxa"/>
        <w:tblInd w:w="6" w:type="dxa"/>
        <w:tblCellMar>
          <w:top w:w="10" w:type="dxa"/>
          <w:left w:w="107" w:type="dxa"/>
          <w:right w:w="50" w:type="dxa"/>
        </w:tblCellMar>
        <w:tblLook w:val="04A0" w:firstRow="1" w:lastRow="0" w:firstColumn="1" w:lastColumn="0" w:noHBand="0" w:noVBand="1"/>
      </w:tblPr>
      <w:tblGrid>
        <w:gridCol w:w="1056"/>
        <w:gridCol w:w="1973"/>
        <w:gridCol w:w="3230"/>
        <w:gridCol w:w="3511"/>
      </w:tblGrid>
      <w:tr w:rsidR="00F93097" w:rsidRPr="00E32FAE" w14:paraId="5ACC81CA" w14:textId="77777777" w:rsidTr="00917A9E">
        <w:trPr>
          <w:cantSplit/>
          <w:trHeight w:val="303"/>
          <w:tblHeader/>
        </w:trPr>
        <w:tc>
          <w:tcPr>
            <w:tcW w:w="9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3D88D8" w14:textId="77777777" w:rsidR="00F93097" w:rsidRPr="007F56D6" w:rsidRDefault="00F93097" w:rsidP="00917A9E">
            <w:pPr>
              <w:spacing w:beforeLines="60" w:before="144" w:afterLines="60" w:after="144"/>
              <w:ind w:right="54"/>
              <w:jc w:val="center"/>
              <w:rPr>
                <w:color w:val="455560"/>
                <w:sz w:val="20"/>
                <w:szCs w:val="20"/>
              </w:rPr>
            </w:pPr>
            <w:r w:rsidRPr="007F56D6">
              <w:rPr>
                <w:rFonts w:eastAsia="Arial"/>
                <w:b/>
                <w:color w:val="455560"/>
                <w:sz w:val="20"/>
                <w:szCs w:val="20"/>
              </w:rPr>
              <w:t>Scenario</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B7BCA1" w14:textId="77777777" w:rsidR="00F93097" w:rsidRPr="007F56D6" w:rsidRDefault="00F93097" w:rsidP="00917A9E">
            <w:pPr>
              <w:spacing w:beforeLines="60" w:before="144" w:afterLines="60" w:after="144"/>
              <w:jc w:val="center"/>
              <w:rPr>
                <w:color w:val="455560"/>
                <w:sz w:val="20"/>
                <w:szCs w:val="20"/>
              </w:rPr>
            </w:pPr>
            <w:r w:rsidRPr="007F56D6">
              <w:rPr>
                <w:rFonts w:eastAsia="Arial"/>
                <w:b/>
                <w:color w:val="455560"/>
                <w:sz w:val="20"/>
                <w:szCs w:val="20"/>
              </w:rPr>
              <w:t>Bulk transfer mechanism</w:t>
            </w:r>
          </w:p>
        </w:tc>
        <w:tc>
          <w:tcPr>
            <w:tcW w:w="32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CC577D" w14:textId="77777777" w:rsidR="00F93097" w:rsidRPr="007F56D6" w:rsidRDefault="00F93097" w:rsidP="00917A9E">
            <w:pPr>
              <w:spacing w:beforeLines="60" w:before="144" w:afterLines="60" w:after="144"/>
              <w:ind w:left="1"/>
              <w:jc w:val="center"/>
              <w:rPr>
                <w:color w:val="455560"/>
                <w:sz w:val="20"/>
                <w:szCs w:val="20"/>
              </w:rPr>
            </w:pPr>
            <w:r w:rsidRPr="007F56D6">
              <w:rPr>
                <w:rFonts w:eastAsia="Arial"/>
                <w:b/>
                <w:color w:val="455560"/>
                <w:sz w:val="20"/>
                <w:szCs w:val="20"/>
              </w:rPr>
              <w:t>Policy</w:t>
            </w:r>
          </w:p>
        </w:tc>
        <w:tc>
          <w:tcPr>
            <w:tcW w:w="3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451893" w14:textId="77777777" w:rsidR="00F93097" w:rsidRPr="007F56D6" w:rsidRDefault="00F93097" w:rsidP="00917A9E">
            <w:pPr>
              <w:spacing w:beforeLines="60" w:before="144" w:afterLines="60" w:after="144"/>
              <w:ind w:left="1"/>
              <w:jc w:val="center"/>
              <w:rPr>
                <w:color w:val="455560"/>
                <w:sz w:val="20"/>
                <w:szCs w:val="20"/>
              </w:rPr>
            </w:pPr>
            <w:r w:rsidRPr="007F56D6">
              <w:rPr>
                <w:rFonts w:eastAsia="Arial"/>
                <w:b/>
                <w:color w:val="455560"/>
                <w:sz w:val="20"/>
                <w:szCs w:val="20"/>
              </w:rPr>
              <w:t>Methodology</w:t>
            </w:r>
          </w:p>
        </w:tc>
      </w:tr>
      <w:tr w:rsidR="00F93097" w:rsidRPr="00E32FAE" w14:paraId="4F276EF4" w14:textId="77777777">
        <w:trPr>
          <w:trHeight w:val="303"/>
        </w:trPr>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729BF9AC" w14:textId="77777777" w:rsidR="00F93097" w:rsidRPr="007F56D6" w:rsidRDefault="00F93097" w:rsidP="00917A9E">
            <w:pPr>
              <w:spacing w:beforeLines="60" w:before="144" w:afterLines="60" w:after="144"/>
              <w:ind w:right="54"/>
              <w:jc w:val="center"/>
              <w:rPr>
                <w:color w:val="455560"/>
                <w:sz w:val="18"/>
                <w:szCs w:val="18"/>
              </w:rPr>
            </w:pPr>
            <w:r w:rsidRPr="007F56D6">
              <w:rPr>
                <w:color w:val="455560"/>
                <w:sz w:val="18"/>
                <w:szCs w:val="18"/>
              </w:rPr>
              <w:t xml:space="preserve">In </w:t>
            </w:r>
          </w:p>
        </w:tc>
        <w:tc>
          <w:tcPr>
            <w:tcW w:w="1984" w:type="dxa"/>
            <w:tcBorders>
              <w:top w:val="single" w:sz="4" w:space="0" w:color="000000"/>
              <w:left w:val="single" w:sz="4" w:space="0" w:color="000000"/>
              <w:bottom w:val="single" w:sz="4" w:space="0" w:color="000000"/>
              <w:right w:val="single" w:sz="4" w:space="0" w:color="000000"/>
            </w:tcBorders>
            <w:vAlign w:val="center"/>
          </w:tcPr>
          <w:p w14:paraId="64C62CC6"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&lt; 10 members – </w:t>
            </w:r>
          </w:p>
          <w:p w14:paraId="21B09A59"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GAD guidance </w:t>
            </w:r>
          </w:p>
        </w:tc>
        <w:tc>
          <w:tcPr>
            <w:tcW w:w="3260" w:type="dxa"/>
            <w:tcBorders>
              <w:top w:val="single" w:sz="4" w:space="0" w:color="000000"/>
              <w:left w:val="single" w:sz="4" w:space="0" w:color="000000"/>
              <w:bottom w:val="single" w:sz="4" w:space="0" w:color="000000"/>
              <w:right w:val="single" w:sz="4" w:space="0" w:color="000000"/>
            </w:tcBorders>
            <w:vAlign w:val="center"/>
          </w:tcPr>
          <w:p w14:paraId="0F1E09D3" w14:textId="77777777" w:rsidR="00F93097" w:rsidRPr="0081651E" w:rsidRDefault="00F93097" w:rsidP="00917A9E">
            <w:pPr>
              <w:spacing w:beforeLines="60" w:before="144" w:afterLines="60" w:after="144"/>
              <w:ind w:left="1"/>
              <w:rPr>
                <w:color w:val="455560"/>
                <w:sz w:val="18"/>
                <w:szCs w:val="18"/>
              </w:rPr>
            </w:pPr>
            <w:r w:rsidRPr="0081651E">
              <w:rPr>
                <w:color w:val="455560"/>
                <w:sz w:val="18"/>
                <w:szCs w:val="18"/>
              </w:rPr>
              <w:t xml:space="preserve">CETVs in accordance with GAD guidance. </w:t>
            </w:r>
          </w:p>
        </w:tc>
        <w:tc>
          <w:tcPr>
            <w:tcW w:w="3544" w:type="dxa"/>
            <w:tcBorders>
              <w:top w:val="single" w:sz="4" w:space="0" w:color="000000"/>
              <w:left w:val="single" w:sz="4" w:space="0" w:color="000000"/>
              <w:bottom w:val="single" w:sz="4" w:space="0" w:color="000000"/>
              <w:right w:val="single" w:sz="4" w:space="0" w:color="000000"/>
            </w:tcBorders>
          </w:tcPr>
          <w:p w14:paraId="0E6B8DB1" w14:textId="77777777" w:rsidR="00F93097" w:rsidRPr="0081651E" w:rsidRDefault="00F93097" w:rsidP="00917A9E">
            <w:pPr>
              <w:spacing w:beforeLines="60" w:before="144" w:afterLines="60" w:after="144"/>
              <w:ind w:left="1"/>
              <w:rPr>
                <w:color w:val="455560"/>
                <w:sz w:val="18"/>
                <w:szCs w:val="18"/>
              </w:rPr>
            </w:pPr>
            <w:r w:rsidRPr="0081651E">
              <w:rPr>
                <w:color w:val="455560"/>
                <w:sz w:val="18"/>
                <w:szCs w:val="18"/>
              </w:rPr>
              <w:t xml:space="preserve">On receipt of a transfer value (calculated in line with the </w:t>
            </w:r>
            <w:r w:rsidRPr="0081651E">
              <w:rPr>
                <w:rFonts w:eastAsia="Arial"/>
                <w:bCs/>
                <w:color w:val="455560"/>
                <w:sz w:val="18"/>
                <w:szCs w:val="18"/>
              </w:rPr>
              <w:t>CETV transfer out formulae</w:t>
            </w:r>
            <w:r w:rsidRPr="0081651E">
              <w:rPr>
                <w:color w:val="455560"/>
                <w:sz w:val="18"/>
                <w:szCs w:val="18"/>
              </w:rPr>
              <w:t xml:space="preserve">), the Fund will award the member a pension credit on a day-for-day basis. </w:t>
            </w:r>
          </w:p>
        </w:tc>
      </w:tr>
      <w:tr w:rsidR="00F93097" w:rsidRPr="00E32FAE" w14:paraId="15CF408C" w14:textId="77777777">
        <w:trPr>
          <w:trHeight w:val="3245"/>
        </w:trPr>
        <w:tc>
          <w:tcPr>
            <w:tcW w:w="982" w:type="dxa"/>
            <w:vMerge/>
            <w:tcBorders>
              <w:top w:val="nil"/>
              <w:left w:val="single" w:sz="4" w:space="0" w:color="000000"/>
              <w:bottom w:val="single" w:sz="4" w:space="0" w:color="000000"/>
              <w:right w:val="single" w:sz="4" w:space="0" w:color="000000"/>
            </w:tcBorders>
          </w:tcPr>
          <w:p w14:paraId="36D87490" w14:textId="77777777" w:rsidR="00F93097" w:rsidRPr="007F56D6" w:rsidRDefault="00F93097" w:rsidP="00917A9E">
            <w:pPr>
              <w:spacing w:beforeLines="60" w:before="144" w:afterLines="60" w:after="144"/>
              <w:rPr>
                <w:color w:val="455560"/>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8FC7DB3"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10 or more members – </w:t>
            </w:r>
          </w:p>
          <w:p w14:paraId="242FA5CE" w14:textId="21C56FDD"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Regulation </w:t>
            </w:r>
            <w:r>
              <w:rPr>
                <w:color w:val="455560"/>
                <w:sz w:val="18"/>
                <w:szCs w:val="18"/>
              </w:rPr>
              <w:t>97</w:t>
            </w:r>
            <w:r w:rsidRPr="007F56D6">
              <w:rPr>
                <w:color w:val="455560"/>
                <w:sz w:val="18"/>
                <w:szCs w:val="18"/>
              </w:rPr>
              <w:t xml:space="preserve"> of the Local Government Pension Scheme</w:t>
            </w:r>
            <w:r>
              <w:rPr>
                <w:color w:val="455560"/>
                <w:sz w:val="18"/>
                <w:szCs w:val="18"/>
              </w:rPr>
              <w:t xml:space="preserve"> (Scotland)</w:t>
            </w:r>
            <w:r w:rsidR="00917A9E">
              <w:rPr>
                <w:color w:val="455560"/>
                <w:sz w:val="18"/>
                <w:szCs w:val="18"/>
              </w:rPr>
              <w:t xml:space="preserve"> </w:t>
            </w:r>
            <w:r w:rsidRPr="007F56D6">
              <w:rPr>
                <w:color w:val="455560"/>
                <w:sz w:val="18"/>
                <w:szCs w:val="18"/>
              </w:rPr>
              <w:t>Regulations 201</w:t>
            </w:r>
            <w:r>
              <w:rPr>
                <w:color w:val="455560"/>
                <w:sz w:val="18"/>
                <w:szCs w:val="18"/>
              </w:rPr>
              <w:t>8</w:t>
            </w:r>
            <w:r w:rsidRPr="007F56D6">
              <w:rPr>
                <w:color w:val="455560"/>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45F13E4" w14:textId="1EFB6995" w:rsidR="00F93097" w:rsidRPr="00917A9E" w:rsidRDefault="00F93097" w:rsidP="00917A9E">
            <w:pPr>
              <w:spacing w:beforeLines="60" w:before="144" w:afterLines="60" w:after="144"/>
              <w:ind w:left="1"/>
              <w:rPr>
                <w:color w:val="455560"/>
                <w:sz w:val="18"/>
                <w:szCs w:val="18"/>
              </w:rPr>
            </w:pPr>
            <w:r w:rsidRPr="0081651E">
              <w:rPr>
                <w:color w:val="455560"/>
                <w:sz w:val="18"/>
                <w:szCs w:val="18"/>
              </w:rPr>
              <w:t>Where agreement can be reached, the Fund and the transferring fund (and their two actuaries) may agree to a negotiated bulk transfer arrangement. However, where agreement cannot be reached:</w:t>
            </w:r>
          </w:p>
          <w:p w14:paraId="6E8ACB98" w14:textId="77777777" w:rsidR="00F93097" w:rsidRPr="0081651E" w:rsidRDefault="00F93097" w:rsidP="00917A9E">
            <w:pPr>
              <w:spacing w:beforeLines="60" w:before="144" w:afterLines="60" w:after="144"/>
              <w:ind w:left="1"/>
              <w:rPr>
                <w:b/>
                <w:bCs/>
                <w:color w:val="455560"/>
                <w:sz w:val="18"/>
                <w:szCs w:val="18"/>
              </w:rPr>
            </w:pPr>
            <w:r w:rsidRPr="0081651E">
              <w:rPr>
                <w:b/>
                <w:bCs/>
                <w:color w:val="455560"/>
                <w:sz w:val="18"/>
                <w:szCs w:val="18"/>
              </w:rPr>
              <w:t>Actives only transferring:</w:t>
            </w:r>
          </w:p>
          <w:p w14:paraId="7EC0CC14" w14:textId="036CE599" w:rsidR="00F93097" w:rsidRPr="0081651E" w:rsidRDefault="00F93097" w:rsidP="00917A9E">
            <w:pPr>
              <w:spacing w:beforeLines="60" w:before="144" w:afterLines="60" w:after="144"/>
              <w:ind w:left="1"/>
              <w:rPr>
                <w:color w:val="455560"/>
                <w:sz w:val="18"/>
                <w:szCs w:val="18"/>
              </w:rPr>
            </w:pPr>
            <w:r w:rsidRPr="0081651E">
              <w:rPr>
                <w:color w:val="455560"/>
                <w:sz w:val="18"/>
                <w:szCs w:val="18"/>
              </w:rPr>
              <w:t>CETVs in accordance with GAD guidance using transferring fund’s actual fund returns for roll up to date of payment (rather than the interest applied for standard CETV’s).</w:t>
            </w:r>
          </w:p>
          <w:p w14:paraId="456216E6" w14:textId="77777777" w:rsidR="00F93097" w:rsidRPr="0081651E" w:rsidRDefault="00F93097" w:rsidP="00917A9E">
            <w:pPr>
              <w:spacing w:beforeLines="60" w:before="144" w:afterLines="60" w:after="144"/>
              <w:ind w:left="1" w:right="48"/>
              <w:rPr>
                <w:b/>
                <w:bCs/>
                <w:color w:val="455560"/>
                <w:sz w:val="18"/>
                <w:szCs w:val="18"/>
              </w:rPr>
            </w:pPr>
            <w:r w:rsidRPr="0081651E">
              <w:rPr>
                <w:b/>
                <w:bCs/>
                <w:color w:val="455560"/>
                <w:sz w:val="18"/>
                <w:szCs w:val="18"/>
              </w:rPr>
              <w:t>All members transferring (i.e. all actives, deferred and pensioners):</w:t>
            </w:r>
          </w:p>
          <w:p w14:paraId="5F15444E" w14:textId="77777777" w:rsidR="00F93097" w:rsidRPr="0081651E" w:rsidRDefault="00F93097" w:rsidP="00917A9E">
            <w:pPr>
              <w:spacing w:beforeLines="60" w:before="144" w:afterLines="60" w:after="144"/>
              <w:rPr>
                <w:color w:val="455560"/>
                <w:sz w:val="18"/>
                <w:szCs w:val="18"/>
              </w:rPr>
            </w:pPr>
            <w:r w:rsidRPr="0081651E">
              <w:rPr>
                <w:color w:val="455560"/>
                <w:sz w:val="18"/>
                <w:szCs w:val="18"/>
              </w:rPr>
              <w:t xml:space="preserve">Receive all assets attributable to the membership within the transferring </w:t>
            </w:r>
            <w:r w:rsidRPr="0081651E" w:rsidDel="00454351">
              <w:rPr>
                <w:color w:val="455560"/>
                <w:sz w:val="18"/>
                <w:szCs w:val="18"/>
              </w:rPr>
              <w:t>scheme</w:t>
            </w:r>
            <w:r w:rsidRPr="0081651E">
              <w:rPr>
                <w:color w:val="455560"/>
                <w:sz w:val="18"/>
                <w:szCs w:val="18"/>
              </w:rPr>
              <w:t>.</w:t>
            </w:r>
          </w:p>
        </w:tc>
        <w:tc>
          <w:tcPr>
            <w:tcW w:w="3544" w:type="dxa"/>
            <w:tcBorders>
              <w:top w:val="single" w:sz="4" w:space="0" w:color="000000"/>
              <w:left w:val="single" w:sz="4" w:space="0" w:color="000000"/>
              <w:bottom w:val="single" w:sz="4" w:space="0" w:color="000000"/>
              <w:right w:val="single" w:sz="4" w:space="0" w:color="000000"/>
            </w:tcBorders>
          </w:tcPr>
          <w:p w14:paraId="4DEA3A81" w14:textId="77777777" w:rsidR="00F93097" w:rsidRPr="0081651E" w:rsidRDefault="00F93097" w:rsidP="00917A9E">
            <w:pPr>
              <w:spacing w:beforeLines="60" w:before="144" w:afterLines="60" w:after="144"/>
              <w:ind w:left="1"/>
              <w:rPr>
                <w:color w:val="455560"/>
                <w:sz w:val="18"/>
                <w:szCs w:val="18"/>
              </w:rPr>
            </w:pPr>
            <w:r w:rsidRPr="0081651E">
              <w:rPr>
                <w:color w:val="455560"/>
                <w:sz w:val="18"/>
                <w:szCs w:val="18"/>
              </w:rPr>
              <w:t xml:space="preserve">The Fund's default policy is to accept a transfer value that is at least equal to the total of the individual CETVs calculated using the Club transfer-out formulae. The Fund will consult with the scheme employer whose funding position will be impacted by the transfer before agreeing to a negotiated bulk transfer arrangement. </w:t>
            </w:r>
          </w:p>
          <w:p w14:paraId="2DD33C5C" w14:textId="77777777" w:rsidR="00F93097" w:rsidRPr="0081651E" w:rsidRDefault="00F93097" w:rsidP="00917A9E">
            <w:pPr>
              <w:spacing w:beforeLines="60" w:before="144" w:afterLines="60" w:after="144"/>
              <w:ind w:left="1"/>
              <w:rPr>
                <w:color w:val="455560"/>
                <w:sz w:val="18"/>
                <w:szCs w:val="18"/>
              </w:rPr>
            </w:pPr>
          </w:p>
          <w:p w14:paraId="1BBF5291" w14:textId="77777777" w:rsidR="00F93097" w:rsidRPr="0081651E" w:rsidRDefault="00F93097" w:rsidP="00917A9E">
            <w:pPr>
              <w:spacing w:beforeLines="60" w:before="144" w:afterLines="60" w:after="144"/>
              <w:ind w:left="1"/>
              <w:rPr>
                <w:color w:val="455560"/>
                <w:sz w:val="18"/>
                <w:szCs w:val="18"/>
              </w:rPr>
            </w:pPr>
            <w:r w:rsidRPr="0081651E">
              <w:rPr>
                <w:color w:val="455560"/>
                <w:sz w:val="18"/>
                <w:szCs w:val="18"/>
              </w:rPr>
              <w:t xml:space="preserve">Pension credits will be awarded to the transferring members on a day-for-day basis. </w:t>
            </w:r>
          </w:p>
        </w:tc>
      </w:tr>
      <w:tr w:rsidR="00F93097" w:rsidRPr="00E32FAE" w14:paraId="44064581" w14:textId="77777777">
        <w:trPr>
          <w:trHeight w:val="628"/>
        </w:trPr>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4AEBF35B" w14:textId="77777777" w:rsidR="00F93097" w:rsidRPr="007F56D6" w:rsidRDefault="00F93097" w:rsidP="00917A9E">
            <w:pPr>
              <w:spacing w:beforeLines="60" w:before="144" w:afterLines="60" w:after="144"/>
              <w:ind w:left="68"/>
              <w:jc w:val="center"/>
              <w:rPr>
                <w:color w:val="455560"/>
                <w:sz w:val="18"/>
                <w:szCs w:val="18"/>
              </w:rPr>
            </w:pPr>
            <w:r w:rsidRPr="007F56D6">
              <w:rPr>
                <w:color w:val="455560"/>
                <w:sz w:val="18"/>
                <w:szCs w:val="18"/>
              </w:rPr>
              <w:t>Out</w:t>
            </w:r>
          </w:p>
        </w:tc>
        <w:tc>
          <w:tcPr>
            <w:tcW w:w="1984" w:type="dxa"/>
            <w:tcBorders>
              <w:top w:val="single" w:sz="4" w:space="0" w:color="000000"/>
              <w:left w:val="single" w:sz="4" w:space="0" w:color="000000"/>
              <w:bottom w:val="single" w:sz="4" w:space="0" w:color="000000"/>
              <w:right w:val="single" w:sz="4" w:space="0" w:color="000000"/>
            </w:tcBorders>
          </w:tcPr>
          <w:p w14:paraId="58E3C23F"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&lt; 10 members – </w:t>
            </w:r>
          </w:p>
          <w:p w14:paraId="349FE313"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GAD guidance </w:t>
            </w:r>
          </w:p>
        </w:tc>
        <w:tc>
          <w:tcPr>
            <w:tcW w:w="3260" w:type="dxa"/>
            <w:tcBorders>
              <w:top w:val="single" w:sz="4" w:space="0" w:color="000000"/>
              <w:left w:val="single" w:sz="4" w:space="0" w:color="000000"/>
              <w:bottom w:val="single" w:sz="4" w:space="0" w:color="000000"/>
              <w:right w:val="single" w:sz="4" w:space="0" w:color="000000"/>
            </w:tcBorders>
            <w:vAlign w:val="center"/>
          </w:tcPr>
          <w:p w14:paraId="74D710DD" w14:textId="77777777" w:rsidR="00F93097" w:rsidRPr="0081651E" w:rsidRDefault="00F93097" w:rsidP="00917A9E">
            <w:pPr>
              <w:spacing w:beforeLines="60" w:before="144" w:afterLines="60" w:after="144"/>
              <w:ind w:left="1" w:right="33"/>
              <w:rPr>
                <w:color w:val="455560"/>
                <w:sz w:val="18"/>
                <w:szCs w:val="18"/>
              </w:rPr>
            </w:pPr>
            <w:r w:rsidRPr="0081651E">
              <w:rPr>
                <w:color w:val="455560"/>
                <w:sz w:val="18"/>
                <w:szCs w:val="18"/>
              </w:rPr>
              <w:t xml:space="preserve">CETVs in accordance with GAD guidance. </w:t>
            </w:r>
          </w:p>
        </w:tc>
        <w:tc>
          <w:tcPr>
            <w:tcW w:w="3544" w:type="dxa"/>
            <w:tcBorders>
              <w:top w:val="single" w:sz="4" w:space="0" w:color="000000"/>
              <w:left w:val="single" w:sz="4" w:space="0" w:color="000000"/>
              <w:bottom w:val="single" w:sz="4" w:space="0" w:color="000000"/>
              <w:right w:val="single" w:sz="4" w:space="0" w:color="000000"/>
            </w:tcBorders>
          </w:tcPr>
          <w:p w14:paraId="79AEDAA1" w14:textId="77777777" w:rsidR="00F93097" w:rsidRPr="0081651E" w:rsidRDefault="00F93097" w:rsidP="00917A9E">
            <w:pPr>
              <w:spacing w:beforeLines="60" w:before="144" w:afterLines="60" w:after="144"/>
              <w:ind w:left="1" w:right="33"/>
              <w:rPr>
                <w:color w:val="455560"/>
                <w:sz w:val="18"/>
                <w:szCs w:val="18"/>
              </w:rPr>
            </w:pPr>
            <w:r w:rsidRPr="0081651E">
              <w:rPr>
                <w:color w:val="455560"/>
                <w:sz w:val="18"/>
                <w:szCs w:val="18"/>
              </w:rPr>
              <w:t xml:space="preserve">The transfer value paid to the receiving fund will be calculated in line with the CETV transfer-out formulae. </w:t>
            </w:r>
          </w:p>
        </w:tc>
      </w:tr>
      <w:tr w:rsidR="00F93097" w:rsidRPr="00E32FAE" w14:paraId="5A0FE14D" w14:textId="77777777">
        <w:trPr>
          <w:trHeight w:val="831"/>
        </w:trPr>
        <w:tc>
          <w:tcPr>
            <w:tcW w:w="982" w:type="dxa"/>
            <w:vMerge/>
            <w:tcBorders>
              <w:top w:val="nil"/>
              <w:left w:val="single" w:sz="4" w:space="0" w:color="000000"/>
              <w:bottom w:val="single" w:sz="4" w:space="0" w:color="000000"/>
              <w:right w:val="single" w:sz="4" w:space="0" w:color="000000"/>
            </w:tcBorders>
          </w:tcPr>
          <w:p w14:paraId="3FA538CF" w14:textId="77777777" w:rsidR="00F93097" w:rsidRPr="007F56D6" w:rsidRDefault="00F93097" w:rsidP="00917A9E">
            <w:pPr>
              <w:spacing w:beforeLines="60" w:before="144" w:afterLines="60" w:after="144"/>
              <w:rPr>
                <w:color w:val="455560"/>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08139F6"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10 or more members – </w:t>
            </w:r>
          </w:p>
          <w:p w14:paraId="1FB81354" w14:textId="45FADD5C"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Regulation </w:t>
            </w:r>
            <w:r>
              <w:rPr>
                <w:color w:val="455560"/>
                <w:sz w:val="18"/>
                <w:szCs w:val="18"/>
              </w:rPr>
              <w:t>97</w:t>
            </w:r>
            <w:r w:rsidRPr="007F56D6">
              <w:rPr>
                <w:color w:val="455560"/>
                <w:sz w:val="18"/>
                <w:szCs w:val="18"/>
              </w:rPr>
              <w:t xml:space="preserve"> of the Local Government</w:t>
            </w:r>
            <w:r w:rsidR="00917A9E">
              <w:rPr>
                <w:color w:val="455560"/>
                <w:sz w:val="18"/>
                <w:szCs w:val="18"/>
              </w:rPr>
              <w:t xml:space="preserve"> </w:t>
            </w:r>
            <w:r w:rsidRPr="007F56D6">
              <w:rPr>
                <w:color w:val="455560"/>
                <w:sz w:val="18"/>
                <w:szCs w:val="18"/>
              </w:rPr>
              <w:t xml:space="preserve">Pension Scheme </w:t>
            </w:r>
            <w:r>
              <w:rPr>
                <w:color w:val="455560"/>
                <w:sz w:val="18"/>
                <w:szCs w:val="18"/>
              </w:rPr>
              <w:t>(Scotland)</w:t>
            </w:r>
            <w:r w:rsidR="00917A9E">
              <w:rPr>
                <w:color w:val="455560"/>
                <w:sz w:val="18"/>
                <w:szCs w:val="18"/>
              </w:rPr>
              <w:t xml:space="preserve"> </w:t>
            </w:r>
            <w:r w:rsidRPr="007F56D6">
              <w:rPr>
                <w:color w:val="455560"/>
                <w:sz w:val="18"/>
                <w:szCs w:val="18"/>
              </w:rPr>
              <w:t>Regulations 201</w:t>
            </w:r>
            <w:r>
              <w:rPr>
                <w:color w:val="455560"/>
                <w:sz w:val="18"/>
                <w:szCs w:val="18"/>
              </w:rPr>
              <w:t>8</w:t>
            </w:r>
            <w:r w:rsidRPr="007F56D6">
              <w:rPr>
                <w:color w:val="455560"/>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3CB3823" w14:textId="03B0CDCA" w:rsidR="00F93097" w:rsidRPr="00917A9E" w:rsidRDefault="00F93097" w:rsidP="00917A9E">
            <w:pPr>
              <w:spacing w:beforeLines="60" w:before="144" w:afterLines="60" w:after="144"/>
              <w:ind w:left="1"/>
              <w:rPr>
                <w:color w:val="455560"/>
                <w:sz w:val="18"/>
                <w:szCs w:val="18"/>
              </w:rPr>
            </w:pPr>
            <w:r w:rsidRPr="0081651E">
              <w:rPr>
                <w:color w:val="455560"/>
                <w:sz w:val="18"/>
                <w:szCs w:val="18"/>
              </w:rPr>
              <w:t>Where agreement can be reached, the Fund and the receiving Fund (and their two actuaries) may agree to a negotiated bulk transfer arrangement. However, where agreement cannot be reached:</w:t>
            </w:r>
          </w:p>
          <w:p w14:paraId="16356F82" w14:textId="77777777" w:rsidR="00F93097" w:rsidRPr="0081651E" w:rsidRDefault="00F93097" w:rsidP="00917A9E">
            <w:pPr>
              <w:spacing w:beforeLines="60" w:before="144" w:afterLines="60" w:after="144"/>
              <w:ind w:left="1"/>
              <w:rPr>
                <w:b/>
                <w:bCs/>
                <w:color w:val="455560"/>
                <w:sz w:val="18"/>
                <w:szCs w:val="18"/>
              </w:rPr>
            </w:pPr>
            <w:r w:rsidRPr="0081651E">
              <w:rPr>
                <w:b/>
                <w:bCs/>
                <w:color w:val="455560"/>
                <w:sz w:val="18"/>
                <w:szCs w:val="18"/>
              </w:rPr>
              <w:t>Actives only transferring (i.e. remaining members left behind):</w:t>
            </w:r>
          </w:p>
          <w:p w14:paraId="71FAF7E5" w14:textId="30D3827E" w:rsidR="00F93097" w:rsidRPr="0081651E" w:rsidRDefault="00F93097" w:rsidP="00917A9E">
            <w:pPr>
              <w:spacing w:beforeLines="60" w:before="144" w:afterLines="60" w:after="144"/>
              <w:ind w:left="1"/>
              <w:rPr>
                <w:color w:val="455560"/>
                <w:sz w:val="18"/>
                <w:szCs w:val="18"/>
              </w:rPr>
            </w:pPr>
            <w:r w:rsidRPr="0081651E">
              <w:rPr>
                <w:color w:val="455560"/>
                <w:sz w:val="18"/>
                <w:szCs w:val="18"/>
              </w:rPr>
              <w:t>CETV in accordance with GAD guidance using transferring fund’s actual fund returns for roll-up to date of payment (rather than the interest applied for standard CETV’s).</w:t>
            </w:r>
          </w:p>
          <w:p w14:paraId="4404FB89" w14:textId="77777777" w:rsidR="00F93097" w:rsidRPr="0081651E" w:rsidRDefault="00F93097" w:rsidP="00917A9E">
            <w:pPr>
              <w:spacing w:beforeLines="60" w:before="144" w:afterLines="60" w:after="144"/>
              <w:ind w:left="1"/>
              <w:rPr>
                <w:b/>
                <w:bCs/>
                <w:color w:val="455560"/>
                <w:sz w:val="18"/>
                <w:szCs w:val="18"/>
              </w:rPr>
            </w:pPr>
            <w:r w:rsidRPr="0081651E">
              <w:rPr>
                <w:b/>
                <w:bCs/>
                <w:color w:val="455560"/>
                <w:sz w:val="18"/>
                <w:szCs w:val="18"/>
              </w:rPr>
              <w:t>All actives transferring (i.e. deferred and pensioner members left behind):</w:t>
            </w:r>
          </w:p>
          <w:p w14:paraId="446F8784" w14:textId="3D41F9E2" w:rsidR="00F93097" w:rsidRPr="0081651E" w:rsidRDefault="00F93097" w:rsidP="00917A9E">
            <w:pPr>
              <w:spacing w:beforeLines="60" w:before="144" w:afterLines="60" w:after="144"/>
              <w:ind w:left="1"/>
              <w:rPr>
                <w:color w:val="455560"/>
                <w:sz w:val="18"/>
                <w:szCs w:val="18"/>
              </w:rPr>
            </w:pPr>
            <w:r w:rsidRPr="0081651E">
              <w:rPr>
                <w:color w:val="455560"/>
                <w:sz w:val="18"/>
                <w:szCs w:val="18"/>
              </w:rPr>
              <w:t>Assets will be retained by the Fund to cover the liabilities of the deferred and pensioner members calculated using the Fund’s cessation assumptions. The residual assets will then be transferred to the receiving scheme.</w:t>
            </w:r>
          </w:p>
          <w:p w14:paraId="05AEB7BC" w14:textId="77777777" w:rsidR="00F93097" w:rsidRPr="0081651E" w:rsidRDefault="00F93097" w:rsidP="00917A9E">
            <w:pPr>
              <w:spacing w:beforeLines="60" w:before="144" w:afterLines="60" w:after="144"/>
              <w:ind w:left="1" w:right="48"/>
              <w:rPr>
                <w:b/>
                <w:bCs/>
                <w:color w:val="455560"/>
                <w:sz w:val="18"/>
                <w:szCs w:val="18"/>
              </w:rPr>
            </w:pPr>
            <w:r w:rsidRPr="0081651E">
              <w:rPr>
                <w:b/>
                <w:bCs/>
                <w:color w:val="455560"/>
                <w:sz w:val="18"/>
                <w:szCs w:val="18"/>
              </w:rPr>
              <w:t>All members transferring (i.e. all actives, deferred and pensioners):</w:t>
            </w:r>
          </w:p>
          <w:p w14:paraId="1ACB668A" w14:textId="77777777" w:rsidR="00F93097" w:rsidRPr="0081651E" w:rsidRDefault="00F93097" w:rsidP="00917A9E">
            <w:pPr>
              <w:spacing w:beforeLines="60" w:before="144" w:afterLines="60" w:after="144"/>
              <w:ind w:left="1"/>
              <w:rPr>
                <w:color w:val="455560"/>
                <w:sz w:val="18"/>
                <w:szCs w:val="18"/>
              </w:rPr>
            </w:pPr>
            <w:r w:rsidRPr="0081651E">
              <w:rPr>
                <w:color w:val="455560"/>
                <w:sz w:val="18"/>
                <w:szCs w:val="18"/>
              </w:rPr>
              <w:t>Transfer all assets attributable to the membership to the receiving scheme.</w:t>
            </w:r>
          </w:p>
        </w:tc>
        <w:tc>
          <w:tcPr>
            <w:tcW w:w="3544" w:type="dxa"/>
            <w:tcBorders>
              <w:top w:val="single" w:sz="4" w:space="0" w:color="000000"/>
              <w:left w:val="single" w:sz="4" w:space="0" w:color="000000"/>
              <w:bottom w:val="single" w:sz="4" w:space="0" w:color="000000"/>
              <w:right w:val="single" w:sz="4" w:space="0" w:color="000000"/>
            </w:tcBorders>
          </w:tcPr>
          <w:p w14:paraId="08297B4D" w14:textId="77777777" w:rsidR="00F93097" w:rsidRPr="0081651E" w:rsidRDefault="00F93097" w:rsidP="00917A9E">
            <w:pPr>
              <w:spacing w:beforeLines="60" w:before="144" w:afterLines="60" w:after="144"/>
              <w:ind w:left="1"/>
              <w:rPr>
                <w:color w:val="455560"/>
                <w:sz w:val="18"/>
                <w:szCs w:val="18"/>
              </w:rPr>
            </w:pPr>
            <w:r w:rsidRPr="0081651E">
              <w:rPr>
                <w:color w:val="455560"/>
                <w:sz w:val="18"/>
                <w:szCs w:val="18"/>
              </w:rPr>
              <w:t xml:space="preserve">The Fund's default policy is to offer a transfer value that is equal to the total of the individual CETV calculated using the Club transfer-out formulae. The Fund will consult with the scheme employer whose funding position will be impacted by the transfer before agreeing to a negotiated bulk transfer arrangement. </w:t>
            </w:r>
            <w:r w:rsidRPr="0081651E">
              <w:rPr>
                <w:color w:val="455560"/>
                <w:sz w:val="18"/>
                <w:szCs w:val="18"/>
              </w:rPr>
              <w:cr/>
            </w:r>
          </w:p>
          <w:p w14:paraId="3A6BF12B" w14:textId="77777777" w:rsidR="00F93097" w:rsidRPr="0081651E" w:rsidRDefault="00F93097" w:rsidP="00917A9E">
            <w:pPr>
              <w:spacing w:beforeLines="60" w:before="144" w:afterLines="60" w:after="144"/>
              <w:ind w:left="1"/>
              <w:rPr>
                <w:color w:val="455560"/>
                <w:sz w:val="18"/>
                <w:szCs w:val="18"/>
              </w:rPr>
            </w:pPr>
            <w:r w:rsidRPr="0081651E">
              <w:rPr>
                <w:color w:val="455560"/>
                <w:sz w:val="18"/>
                <w:szCs w:val="18"/>
              </w:rPr>
              <w:t>Discretion exists to amend this to reflect specific circumstances of the situation.</w:t>
            </w:r>
          </w:p>
        </w:tc>
      </w:tr>
    </w:tbl>
    <w:p w14:paraId="61936E9E" w14:textId="77777777" w:rsidR="00F93097" w:rsidRPr="007F56D6" w:rsidRDefault="00F93097" w:rsidP="00317721">
      <w:pPr>
        <w:pStyle w:val="Heading4"/>
      </w:pPr>
      <w:r>
        <w:t xml:space="preserve">F5.2 </w:t>
      </w:r>
      <w:r w:rsidRPr="007F56D6">
        <w:t>Club Scheme</w:t>
      </w:r>
    </w:p>
    <w:tbl>
      <w:tblPr>
        <w:tblStyle w:val="TableGrid0"/>
        <w:tblW w:w="9628" w:type="dxa"/>
        <w:tblInd w:w="6" w:type="dxa"/>
        <w:tblCellMar>
          <w:top w:w="10" w:type="dxa"/>
          <w:left w:w="107" w:type="dxa"/>
          <w:right w:w="50" w:type="dxa"/>
        </w:tblCellMar>
        <w:tblLook w:val="04A0" w:firstRow="1" w:lastRow="0" w:firstColumn="1" w:lastColumn="0" w:noHBand="0" w:noVBand="1"/>
      </w:tblPr>
      <w:tblGrid>
        <w:gridCol w:w="1121"/>
        <w:gridCol w:w="1987"/>
        <w:gridCol w:w="3827"/>
        <w:gridCol w:w="2693"/>
      </w:tblGrid>
      <w:tr w:rsidR="00F93097" w:rsidRPr="007F56D6" w14:paraId="498C57C6" w14:textId="77777777">
        <w:trPr>
          <w:trHeight w:val="508"/>
        </w:trPr>
        <w:tc>
          <w:tcPr>
            <w:tcW w:w="11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079DD4" w14:textId="77777777" w:rsidR="00F93097" w:rsidRPr="007F56D6" w:rsidRDefault="00F93097" w:rsidP="00917A9E">
            <w:pPr>
              <w:spacing w:beforeLines="60" w:before="144" w:afterLines="60" w:after="144"/>
              <w:ind w:right="58"/>
              <w:jc w:val="center"/>
              <w:rPr>
                <w:color w:val="455560"/>
                <w:sz w:val="20"/>
                <w:szCs w:val="20"/>
              </w:rPr>
            </w:pPr>
            <w:r w:rsidRPr="007F56D6">
              <w:rPr>
                <w:rFonts w:eastAsia="Arial"/>
                <w:b/>
                <w:color w:val="455560"/>
                <w:sz w:val="20"/>
                <w:szCs w:val="20"/>
              </w:rPr>
              <w:t xml:space="preserve">Scenario </w:t>
            </w:r>
          </w:p>
        </w:tc>
        <w:tc>
          <w:tcPr>
            <w:tcW w:w="19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3EC693" w14:textId="77777777" w:rsidR="00F93097" w:rsidRPr="007F56D6" w:rsidRDefault="00F93097" w:rsidP="00917A9E">
            <w:pPr>
              <w:spacing w:beforeLines="60" w:before="144" w:afterLines="60" w:after="144"/>
              <w:jc w:val="center"/>
              <w:rPr>
                <w:color w:val="455560"/>
                <w:sz w:val="20"/>
                <w:szCs w:val="20"/>
              </w:rPr>
            </w:pPr>
            <w:r w:rsidRPr="007F56D6">
              <w:rPr>
                <w:rFonts w:eastAsia="Arial"/>
                <w:b/>
                <w:color w:val="455560"/>
                <w:sz w:val="20"/>
                <w:szCs w:val="20"/>
              </w:rPr>
              <w:t>Bulk transfer mechanism</w:t>
            </w:r>
          </w:p>
        </w:tc>
        <w:tc>
          <w:tcPr>
            <w:tcW w:w="38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54D948" w14:textId="77777777" w:rsidR="00F93097" w:rsidRPr="007F56D6" w:rsidRDefault="00F93097" w:rsidP="00917A9E">
            <w:pPr>
              <w:spacing w:beforeLines="60" w:before="144" w:afterLines="60" w:after="144"/>
              <w:ind w:right="54"/>
              <w:jc w:val="center"/>
              <w:rPr>
                <w:color w:val="455560"/>
                <w:sz w:val="20"/>
                <w:szCs w:val="20"/>
              </w:rPr>
            </w:pPr>
            <w:r w:rsidRPr="007F56D6">
              <w:rPr>
                <w:rFonts w:eastAsia="Arial"/>
                <w:b/>
                <w:color w:val="455560"/>
                <w:sz w:val="20"/>
                <w:szCs w:val="20"/>
              </w:rPr>
              <w:t xml:space="preserve">Policy </w:t>
            </w:r>
          </w:p>
        </w:tc>
        <w:tc>
          <w:tcPr>
            <w:tcW w:w="26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207DF2" w14:textId="77777777" w:rsidR="00F93097" w:rsidRPr="007F56D6" w:rsidRDefault="00F93097" w:rsidP="00917A9E">
            <w:pPr>
              <w:spacing w:beforeLines="60" w:before="144" w:afterLines="60" w:after="144"/>
              <w:ind w:right="56"/>
              <w:jc w:val="center"/>
              <w:rPr>
                <w:color w:val="455560"/>
                <w:sz w:val="20"/>
                <w:szCs w:val="20"/>
              </w:rPr>
            </w:pPr>
            <w:r w:rsidRPr="007F56D6">
              <w:rPr>
                <w:rFonts w:eastAsia="Arial"/>
                <w:b/>
                <w:color w:val="455560"/>
                <w:sz w:val="20"/>
                <w:szCs w:val="20"/>
              </w:rPr>
              <w:t xml:space="preserve">Methodology </w:t>
            </w:r>
          </w:p>
        </w:tc>
      </w:tr>
      <w:tr w:rsidR="00F93097" w:rsidRPr="00E32FAE" w14:paraId="6D229357" w14:textId="77777777">
        <w:trPr>
          <w:trHeight w:val="1137"/>
        </w:trPr>
        <w:tc>
          <w:tcPr>
            <w:tcW w:w="1121" w:type="dxa"/>
            <w:tcBorders>
              <w:top w:val="single" w:sz="4" w:space="0" w:color="000000"/>
              <w:left w:val="single" w:sz="4" w:space="0" w:color="000000"/>
              <w:bottom w:val="single" w:sz="4" w:space="0" w:color="000000"/>
              <w:right w:val="single" w:sz="4" w:space="0" w:color="000000"/>
            </w:tcBorders>
            <w:vAlign w:val="center"/>
          </w:tcPr>
          <w:p w14:paraId="28101CE0" w14:textId="77777777" w:rsidR="00F93097" w:rsidRPr="007F56D6" w:rsidRDefault="00F93097" w:rsidP="00917A9E">
            <w:pPr>
              <w:spacing w:beforeLines="60" w:before="144" w:afterLines="60" w:after="144"/>
              <w:ind w:right="58"/>
              <w:jc w:val="center"/>
              <w:rPr>
                <w:color w:val="455560"/>
                <w:sz w:val="18"/>
                <w:szCs w:val="18"/>
              </w:rPr>
            </w:pPr>
            <w:r w:rsidRPr="007F56D6">
              <w:rPr>
                <w:color w:val="455560"/>
                <w:sz w:val="18"/>
                <w:szCs w:val="18"/>
              </w:rPr>
              <w:t xml:space="preserve">In </w:t>
            </w:r>
          </w:p>
        </w:tc>
        <w:tc>
          <w:tcPr>
            <w:tcW w:w="1987" w:type="dxa"/>
            <w:tcBorders>
              <w:top w:val="single" w:sz="4" w:space="0" w:color="000000"/>
              <w:left w:val="single" w:sz="4" w:space="0" w:color="000000"/>
              <w:bottom w:val="single" w:sz="4" w:space="0" w:color="000000"/>
              <w:right w:val="single" w:sz="4" w:space="0" w:color="000000"/>
            </w:tcBorders>
          </w:tcPr>
          <w:p w14:paraId="0D307DF7"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Club Memorandum</w:t>
            </w:r>
          </w:p>
        </w:tc>
        <w:tc>
          <w:tcPr>
            <w:tcW w:w="3827" w:type="dxa"/>
            <w:tcBorders>
              <w:top w:val="single" w:sz="4" w:space="0" w:color="000000"/>
              <w:left w:val="single" w:sz="4" w:space="0" w:color="000000"/>
              <w:bottom w:val="single" w:sz="4" w:space="0" w:color="000000"/>
              <w:right w:val="single" w:sz="4" w:space="0" w:color="000000"/>
            </w:tcBorders>
          </w:tcPr>
          <w:p w14:paraId="185D363D" w14:textId="77777777" w:rsidR="00F93097" w:rsidRPr="007F56D6" w:rsidRDefault="00F93097" w:rsidP="00917A9E">
            <w:pPr>
              <w:spacing w:beforeLines="60" w:before="144" w:afterLines="60" w:after="144"/>
              <w:ind w:left="1"/>
              <w:rPr>
                <w:color w:val="455560"/>
                <w:sz w:val="18"/>
                <w:szCs w:val="18"/>
              </w:rPr>
            </w:pPr>
            <w:r w:rsidRPr="007F56D6">
              <w:rPr>
                <w:color w:val="455560"/>
                <w:sz w:val="18"/>
                <w:szCs w:val="18"/>
              </w:rPr>
              <w:t xml:space="preserve">The Club mechanism ensures the pension credit in the Fund provides actuarially equivalent benefits. </w:t>
            </w:r>
          </w:p>
        </w:tc>
        <w:tc>
          <w:tcPr>
            <w:tcW w:w="2693" w:type="dxa"/>
            <w:tcBorders>
              <w:top w:val="single" w:sz="4" w:space="0" w:color="000000"/>
              <w:left w:val="single" w:sz="4" w:space="0" w:color="000000"/>
              <w:bottom w:val="single" w:sz="4" w:space="0" w:color="000000"/>
              <w:right w:val="single" w:sz="4" w:space="0" w:color="000000"/>
            </w:tcBorders>
          </w:tcPr>
          <w:p w14:paraId="4AF67CE7" w14:textId="77777777" w:rsidR="00F93097" w:rsidRPr="007F56D6" w:rsidRDefault="00F93097" w:rsidP="00917A9E">
            <w:pPr>
              <w:spacing w:beforeLines="60" w:before="144" w:afterLines="60" w:after="144"/>
              <w:ind w:left="1" w:right="40"/>
              <w:rPr>
                <w:color w:val="455560"/>
                <w:sz w:val="18"/>
                <w:szCs w:val="18"/>
              </w:rPr>
            </w:pPr>
            <w:r w:rsidRPr="007F56D6">
              <w:rPr>
                <w:color w:val="455560"/>
                <w:sz w:val="18"/>
                <w:szCs w:val="18"/>
              </w:rPr>
              <w:t>The pension credit awarded to members transferring in will be calculated in line with the Club transfer-in formulae.</w:t>
            </w:r>
          </w:p>
        </w:tc>
      </w:tr>
      <w:tr w:rsidR="00F93097" w:rsidRPr="00E32FAE" w14:paraId="12A09088" w14:textId="77777777">
        <w:trPr>
          <w:trHeight w:val="2388"/>
        </w:trPr>
        <w:tc>
          <w:tcPr>
            <w:tcW w:w="1121" w:type="dxa"/>
            <w:tcBorders>
              <w:top w:val="single" w:sz="4" w:space="0" w:color="000000"/>
              <w:left w:val="single" w:sz="4" w:space="0" w:color="000000"/>
              <w:bottom w:val="single" w:sz="4" w:space="0" w:color="000000"/>
              <w:right w:val="single" w:sz="4" w:space="0" w:color="000000"/>
            </w:tcBorders>
            <w:vAlign w:val="center"/>
          </w:tcPr>
          <w:p w14:paraId="627B603F" w14:textId="77777777" w:rsidR="00F93097" w:rsidRPr="007F56D6" w:rsidRDefault="00F93097" w:rsidP="00917A9E">
            <w:pPr>
              <w:spacing w:beforeLines="60" w:before="144" w:afterLines="60" w:after="144"/>
              <w:ind w:left="68"/>
              <w:jc w:val="center"/>
              <w:rPr>
                <w:color w:val="455560"/>
                <w:sz w:val="18"/>
                <w:szCs w:val="18"/>
              </w:rPr>
            </w:pPr>
            <w:r w:rsidRPr="007F56D6">
              <w:rPr>
                <w:color w:val="455560"/>
                <w:sz w:val="18"/>
                <w:szCs w:val="18"/>
              </w:rPr>
              <w:t>Out</w:t>
            </w:r>
          </w:p>
        </w:tc>
        <w:tc>
          <w:tcPr>
            <w:tcW w:w="1987" w:type="dxa"/>
            <w:tcBorders>
              <w:top w:val="single" w:sz="4" w:space="0" w:color="000000"/>
              <w:left w:val="single" w:sz="4" w:space="0" w:color="000000"/>
              <w:bottom w:val="single" w:sz="4" w:space="0" w:color="000000"/>
              <w:right w:val="single" w:sz="4" w:space="0" w:color="000000"/>
            </w:tcBorders>
          </w:tcPr>
          <w:p w14:paraId="6500BE9C" w14:textId="440AE285" w:rsidR="00F93097" w:rsidRPr="007F56D6" w:rsidRDefault="00F93097" w:rsidP="00917A9E">
            <w:pPr>
              <w:spacing w:beforeLines="60" w:before="144" w:afterLines="60" w:after="144"/>
              <w:rPr>
                <w:color w:val="455560"/>
                <w:sz w:val="18"/>
                <w:szCs w:val="18"/>
              </w:rPr>
            </w:pPr>
            <w:r w:rsidRPr="007F56D6">
              <w:rPr>
                <w:color w:val="455560"/>
                <w:sz w:val="18"/>
                <w:szCs w:val="18"/>
              </w:rPr>
              <w:t>Regulation 9</w:t>
            </w:r>
            <w:r>
              <w:rPr>
                <w:color w:val="455560"/>
                <w:sz w:val="18"/>
                <w:szCs w:val="18"/>
              </w:rPr>
              <w:t>3</w:t>
            </w:r>
            <w:r w:rsidRPr="007F56D6">
              <w:rPr>
                <w:color w:val="455560"/>
                <w:sz w:val="18"/>
                <w:szCs w:val="18"/>
              </w:rPr>
              <w:t xml:space="preserve"> of the Local Government Pension Scheme</w:t>
            </w:r>
            <w:r>
              <w:rPr>
                <w:color w:val="455560"/>
                <w:sz w:val="18"/>
                <w:szCs w:val="18"/>
              </w:rPr>
              <w:t xml:space="preserve"> (Scotland)</w:t>
            </w:r>
            <w:r w:rsidRPr="007F56D6">
              <w:rPr>
                <w:color w:val="455560"/>
                <w:sz w:val="18"/>
                <w:szCs w:val="18"/>
              </w:rPr>
              <w:t xml:space="preserve"> Regulations 201</w:t>
            </w:r>
            <w:r>
              <w:rPr>
                <w:color w:val="455560"/>
                <w:sz w:val="18"/>
                <w:szCs w:val="18"/>
              </w:rPr>
              <w:t>8</w:t>
            </w:r>
            <w:r w:rsidRPr="007F56D6">
              <w:rPr>
                <w:color w:val="455560"/>
                <w:sz w:val="18"/>
                <w:szCs w:val="18"/>
              </w:rPr>
              <w:t xml:space="preserve"> </w:t>
            </w:r>
          </w:p>
          <w:p w14:paraId="689D648D"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or </w:t>
            </w:r>
          </w:p>
          <w:p w14:paraId="7927550E"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Club Memorandum </w:t>
            </w:r>
          </w:p>
        </w:tc>
        <w:tc>
          <w:tcPr>
            <w:tcW w:w="3827" w:type="dxa"/>
            <w:tcBorders>
              <w:top w:val="single" w:sz="4" w:space="0" w:color="000000"/>
              <w:left w:val="single" w:sz="4" w:space="0" w:color="000000"/>
              <w:bottom w:val="single" w:sz="4" w:space="0" w:color="000000"/>
              <w:right w:val="single" w:sz="4" w:space="0" w:color="000000"/>
            </w:tcBorders>
          </w:tcPr>
          <w:p w14:paraId="3E0187D7" w14:textId="6810BEB1" w:rsidR="00F93097" w:rsidRPr="007F56D6" w:rsidRDefault="00F93097" w:rsidP="00917A9E">
            <w:pPr>
              <w:spacing w:beforeLines="60" w:before="144" w:afterLines="60" w:after="144"/>
              <w:ind w:left="1" w:right="52"/>
              <w:rPr>
                <w:color w:val="455560"/>
                <w:sz w:val="18"/>
                <w:szCs w:val="18"/>
              </w:rPr>
            </w:pPr>
            <w:r w:rsidRPr="007F56D6">
              <w:rPr>
                <w:color w:val="455560"/>
                <w:sz w:val="18"/>
                <w:szCs w:val="18"/>
              </w:rPr>
              <w:t xml:space="preserve">Where agreement can be reached, the Fund and the receiving scheme (and their two actuaries) may agree to a negotiated bulk transfer arrangement. </w:t>
            </w:r>
          </w:p>
          <w:p w14:paraId="330E4BEF" w14:textId="2683A84D" w:rsidR="00F93097" w:rsidRPr="007F56D6" w:rsidRDefault="00F93097" w:rsidP="00917A9E">
            <w:pPr>
              <w:spacing w:beforeLines="60" w:before="144" w:afterLines="60" w:after="144"/>
              <w:ind w:left="1"/>
              <w:rPr>
                <w:color w:val="455560"/>
                <w:sz w:val="18"/>
                <w:szCs w:val="18"/>
              </w:rPr>
            </w:pPr>
            <w:r w:rsidRPr="007F56D6">
              <w:rPr>
                <w:color w:val="455560"/>
                <w:sz w:val="18"/>
                <w:szCs w:val="18"/>
              </w:rPr>
              <w:t xml:space="preserve">Or </w:t>
            </w:r>
          </w:p>
          <w:p w14:paraId="4683D9A1" w14:textId="77777777" w:rsidR="00F93097" w:rsidRPr="007F56D6" w:rsidRDefault="00F93097" w:rsidP="00917A9E">
            <w:pPr>
              <w:spacing w:beforeLines="60" w:before="144" w:afterLines="60" w:after="144"/>
              <w:ind w:left="1" w:right="51"/>
              <w:rPr>
                <w:color w:val="455560"/>
                <w:sz w:val="18"/>
                <w:szCs w:val="18"/>
              </w:rPr>
            </w:pPr>
            <w:r w:rsidRPr="007F56D6">
              <w:rPr>
                <w:color w:val="455560"/>
                <w:sz w:val="18"/>
                <w:szCs w:val="18"/>
              </w:rPr>
              <w:t xml:space="preserve">Where agreement cannot be reached, revert to the Club transfer out formulae in accordance with GAD guidance.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B40CC1B" w14:textId="77777777" w:rsidR="00F93097" w:rsidRPr="007F56D6" w:rsidRDefault="00F93097" w:rsidP="00917A9E">
            <w:pPr>
              <w:spacing w:beforeLines="60" w:before="144" w:afterLines="60" w:after="144"/>
              <w:ind w:left="1"/>
              <w:rPr>
                <w:color w:val="455560"/>
                <w:sz w:val="18"/>
                <w:szCs w:val="18"/>
              </w:rPr>
            </w:pPr>
            <w:r w:rsidRPr="007F56D6">
              <w:rPr>
                <w:color w:val="455560"/>
                <w:sz w:val="18"/>
                <w:szCs w:val="18"/>
              </w:rPr>
              <w:t xml:space="preserve">The Fund's default policy is to offer the receiving scheme transfers out calculated </w:t>
            </w:r>
            <w:r>
              <w:rPr>
                <w:color w:val="455560"/>
                <w:sz w:val="18"/>
                <w:szCs w:val="18"/>
              </w:rPr>
              <w:t>in line with the Club transfer-out formulae.</w:t>
            </w:r>
          </w:p>
          <w:p w14:paraId="0FE300C0" w14:textId="77777777" w:rsidR="00F93097" w:rsidRPr="007F56D6" w:rsidRDefault="00F93097" w:rsidP="00917A9E">
            <w:pPr>
              <w:spacing w:beforeLines="60" w:before="144" w:afterLines="60" w:after="144"/>
              <w:ind w:left="1"/>
              <w:rPr>
                <w:color w:val="455560"/>
                <w:sz w:val="18"/>
                <w:szCs w:val="18"/>
              </w:rPr>
            </w:pPr>
            <w:r w:rsidRPr="007F56D6">
              <w:rPr>
                <w:color w:val="455560"/>
                <w:sz w:val="18"/>
                <w:szCs w:val="18"/>
              </w:rPr>
              <w:t xml:space="preserve">Discretion exists to amend this to reflect specific circumstances of the situation. </w:t>
            </w:r>
          </w:p>
        </w:tc>
      </w:tr>
    </w:tbl>
    <w:p w14:paraId="34D56F86" w14:textId="77777777" w:rsidR="00F93097" w:rsidRDefault="00F93097" w:rsidP="00917A9E">
      <w:pPr>
        <w:spacing w:beforeLines="60" w:before="144" w:afterLines="60" w:after="144"/>
      </w:pPr>
    </w:p>
    <w:p w14:paraId="7B243168" w14:textId="77777777" w:rsidR="00F93097" w:rsidRDefault="00F93097" w:rsidP="00317721">
      <w:pPr>
        <w:pStyle w:val="Heading4"/>
      </w:pPr>
      <w:r>
        <w:t xml:space="preserve">F5.3 </w:t>
      </w:r>
      <w:r w:rsidRPr="007F56D6">
        <w:t>Broadly</w:t>
      </w:r>
      <w:r>
        <w:rPr>
          <w:rFonts w:eastAsia="Arial"/>
        </w:rPr>
        <w:t xml:space="preserve"> </w:t>
      </w:r>
      <w:r w:rsidRPr="002C49A5">
        <w:rPr>
          <w:rFonts w:eastAsia="Arial"/>
        </w:rPr>
        <w:t>Comparable</w:t>
      </w:r>
      <w:r>
        <w:rPr>
          <w:rFonts w:eastAsia="Arial"/>
        </w:rPr>
        <w:t xml:space="preserve"> </w:t>
      </w:r>
      <w:r w:rsidRPr="002C49A5">
        <w:rPr>
          <w:rFonts w:eastAsia="Arial"/>
        </w:rPr>
        <w:t>Scheme</w:t>
      </w:r>
      <w:r>
        <w:rPr>
          <w:rFonts w:eastAsia="Arial"/>
        </w:rPr>
        <w:t xml:space="preserve"> or n</w:t>
      </w:r>
      <w:r w:rsidRPr="002C49A5">
        <w:rPr>
          <w:rFonts w:eastAsia="Arial"/>
        </w:rPr>
        <w:t>on-Club</w:t>
      </w:r>
      <w:r>
        <w:rPr>
          <w:rFonts w:eastAsia="Arial"/>
        </w:rPr>
        <w:t xml:space="preserve"> </w:t>
      </w:r>
      <w:r w:rsidRPr="002C49A5">
        <w:rPr>
          <w:rFonts w:eastAsia="Arial"/>
        </w:rPr>
        <w:t>scheme</w:t>
      </w:r>
    </w:p>
    <w:tbl>
      <w:tblPr>
        <w:tblStyle w:val="TableGrid0"/>
        <w:tblW w:w="9628" w:type="dxa"/>
        <w:tblInd w:w="6" w:type="dxa"/>
        <w:tblCellMar>
          <w:top w:w="10" w:type="dxa"/>
          <w:left w:w="107" w:type="dxa"/>
          <w:right w:w="50" w:type="dxa"/>
        </w:tblCellMar>
        <w:tblLook w:val="04A0" w:firstRow="1" w:lastRow="0" w:firstColumn="1" w:lastColumn="0" w:noHBand="0" w:noVBand="1"/>
      </w:tblPr>
      <w:tblGrid>
        <w:gridCol w:w="1125"/>
        <w:gridCol w:w="1983"/>
        <w:gridCol w:w="3827"/>
        <w:gridCol w:w="2693"/>
      </w:tblGrid>
      <w:tr w:rsidR="00F93097" w:rsidRPr="00E32FAE" w14:paraId="00DA6875" w14:textId="77777777">
        <w:trPr>
          <w:trHeight w:val="60"/>
        </w:trPr>
        <w:tc>
          <w:tcPr>
            <w:tcW w:w="11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8858CB" w14:textId="77777777" w:rsidR="00F93097" w:rsidRPr="007F56D6" w:rsidRDefault="00F93097" w:rsidP="00917A9E">
            <w:pPr>
              <w:spacing w:beforeLines="60" w:before="144" w:afterLines="60" w:after="144"/>
              <w:ind w:right="54"/>
              <w:jc w:val="center"/>
              <w:rPr>
                <w:rFonts w:eastAsia="Arial"/>
                <w:b/>
                <w:color w:val="455560"/>
                <w:sz w:val="20"/>
                <w:szCs w:val="20"/>
              </w:rPr>
            </w:pPr>
            <w:r w:rsidRPr="007F56D6">
              <w:rPr>
                <w:rFonts w:eastAsia="Arial"/>
                <w:b/>
                <w:color w:val="455560"/>
                <w:sz w:val="20"/>
                <w:szCs w:val="20"/>
              </w:rPr>
              <w:t>Scenario</w:t>
            </w:r>
          </w:p>
        </w:tc>
        <w:tc>
          <w:tcPr>
            <w:tcW w:w="19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C340E2" w14:textId="77777777" w:rsidR="00F93097" w:rsidRPr="007F56D6" w:rsidRDefault="00F93097" w:rsidP="00917A9E">
            <w:pPr>
              <w:spacing w:beforeLines="60" w:before="144" w:afterLines="60" w:after="144"/>
              <w:jc w:val="center"/>
              <w:rPr>
                <w:rFonts w:eastAsia="Arial"/>
                <w:b/>
                <w:color w:val="455560"/>
                <w:sz w:val="20"/>
                <w:szCs w:val="20"/>
              </w:rPr>
            </w:pPr>
            <w:r w:rsidRPr="007F56D6">
              <w:rPr>
                <w:rFonts w:eastAsia="Arial"/>
                <w:b/>
                <w:color w:val="455560"/>
                <w:sz w:val="20"/>
                <w:szCs w:val="20"/>
              </w:rPr>
              <w:t>Bulk transfer mechanism</w:t>
            </w:r>
          </w:p>
        </w:tc>
        <w:tc>
          <w:tcPr>
            <w:tcW w:w="38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9CEF7A" w14:textId="77777777" w:rsidR="00F93097" w:rsidRPr="007F56D6" w:rsidRDefault="00F93097" w:rsidP="00917A9E">
            <w:pPr>
              <w:spacing w:beforeLines="60" w:before="144" w:afterLines="60" w:after="144"/>
              <w:ind w:right="54"/>
              <w:jc w:val="center"/>
              <w:rPr>
                <w:rFonts w:eastAsia="Arial"/>
                <w:b/>
                <w:color w:val="455560"/>
                <w:sz w:val="20"/>
                <w:szCs w:val="20"/>
              </w:rPr>
            </w:pPr>
            <w:r w:rsidRPr="007F56D6">
              <w:rPr>
                <w:rFonts w:eastAsia="Arial"/>
                <w:b/>
                <w:color w:val="455560"/>
                <w:sz w:val="20"/>
                <w:szCs w:val="20"/>
              </w:rPr>
              <w:t>Policy</w:t>
            </w:r>
          </w:p>
        </w:tc>
        <w:tc>
          <w:tcPr>
            <w:tcW w:w="26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9BD8D7" w14:textId="77777777" w:rsidR="00F93097" w:rsidRPr="007F56D6" w:rsidRDefault="00F93097" w:rsidP="00917A9E">
            <w:pPr>
              <w:spacing w:beforeLines="60" w:before="144" w:afterLines="60" w:after="144"/>
              <w:ind w:right="54"/>
              <w:jc w:val="center"/>
              <w:rPr>
                <w:rFonts w:eastAsia="Arial"/>
                <w:b/>
                <w:color w:val="455560"/>
                <w:sz w:val="20"/>
                <w:szCs w:val="20"/>
              </w:rPr>
            </w:pPr>
            <w:r w:rsidRPr="007F56D6">
              <w:rPr>
                <w:rFonts w:eastAsia="Arial"/>
                <w:b/>
                <w:color w:val="455560"/>
                <w:sz w:val="20"/>
                <w:szCs w:val="20"/>
              </w:rPr>
              <w:t>Methodology</w:t>
            </w:r>
          </w:p>
        </w:tc>
      </w:tr>
      <w:tr w:rsidR="00F93097" w:rsidRPr="00E32FAE" w14:paraId="6CC604E4" w14:textId="77777777" w:rsidTr="00917A9E">
        <w:trPr>
          <w:trHeight w:val="1314"/>
        </w:trPr>
        <w:tc>
          <w:tcPr>
            <w:tcW w:w="1125" w:type="dxa"/>
            <w:tcBorders>
              <w:top w:val="single" w:sz="4" w:space="0" w:color="000000"/>
              <w:left w:val="single" w:sz="4" w:space="0" w:color="000000"/>
              <w:bottom w:val="single" w:sz="4" w:space="0" w:color="000000"/>
              <w:right w:val="single" w:sz="4" w:space="0" w:color="000000"/>
            </w:tcBorders>
            <w:vAlign w:val="center"/>
          </w:tcPr>
          <w:p w14:paraId="55E5F465" w14:textId="77777777" w:rsidR="00F93097" w:rsidRPr="007F56D6" w:rsidRDefault="00F93097" w:rsidP="00917A9E">
            <w:pPr>
              <w:spacing w:beforeLines="60" w:before="144" w:afterLines="60" w:after="144"/>
              <w:ind w:right="58"/>
              <w:jc w:val="center"/>
              <w:rPr>
                <w:color w:val="455560"/>
                <w:sz w:val="18"/>
                <w:szCs w:val="18"/>
              </w:rPr>
            </w:pPr>
            <w:r w:rsidRPr="007F56D6">
              <w:rPr>
                <w:color w:val="455560"/>
                <w:sz w:val="18"/>
                <w:szCs w:val="18"/>
              </w:rPr>
              <w:t xml:space="preserve">In </w:t>
            </w:r>
          </w:p>
        </w:tc>
        <w:tc>
          <w:tcPr>
            <w:tcW w:w="1983" w:type="dxa"/>
            <w:tcBorders>
              <w:top w:val="single" w:sz="4" w:space="0" w:color="000000"/>
              <w:left w:val="single" w:sz="4" w:space="0" w:color="000000"/>
              <w:bottom w:val="single" w:sz="4" w:space="0" w:color="000000"/>
              <w:right w:val="single" w:sz="4" w:space="0" w:color="000000"/>
            </w:tcBorders>
          </w:tcPr>
          <w:p w14:paraId="71DDA0C1"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GAD guidance</w:t>
            </w:r>
          </w:p>
        </w:tc>
        <w:tc>
          <w:tcPr>
            <w:tcW w:w="3827" w:type="dxa"/>
            <w:tcBorders>
              <w:top w:val="single" w:sz="4" w:space="0" w:color="000000"/>
              <w:left w:val="single" w:sz="4" w:space="0" w:color="000000"/>
              <w:bottom w:val="single" w:sz="4" w:space="0" w:color="000000"/>
              <w:right w:val="single" w:sz="4" w:space="0" w:color="000000"/>
            </w:tcBorders>
          </w:tcPr>
          <w:p w14:paraId="03C9937F" w14:textId="3B98BB67" w:rsidR="00F93097" w:rsidRPr="007F56D6" w:rsidRDefault="00F93097" w:rsidP="00917A9E">
            <w:pPr>
              <w:spacing w:beforeLines="60" w:before="144" w:afterLines="60" w:after="144"/>
              <w:ind w:left="1" w:right="52"/>
              <w:rPr>
                <w:color w:val="455560"/>
                <w:sz w:val="18"/>
                <w:szCs w:val="18"/>
              </w:rPr>
            </w:pPr>
            <w:r w:rsidRPr="007F56D6">
              <w:rPr>
                <w:color w:val="455560"/>
                <w:sz w:val="18"/>
                <w:szCs w:val="18"/>
              </w:rPr>
              <w:t xml:space="preserve">Non-Club transfer in formulae in accordance with GAD guidance </w:t>
            </w:r>
          </w:p>
        </w:tc>
        <w:tc>
          <w:tcPr>
            <w:tcW w:w="2693" w:type="dxa"/>
            <w:tcBorders>
              <w:top w:val="single" w:sz="4" w:space="0" w:color="000000"/>
              <w:left w:val="single" w:sz="4" w:space="0" w:color="000000"/>
              <w:bottom w:val="single" w:sz="4" w:space="0" w:color="000000"/>
              <w:right w:val="single" w:sz="4" w:space="0" w:color="000000"/>
            </w:tcBorders>
          </w:tcPr>
          <w:p w14:paraId="230AB4C7" w14:textId="43CF5151" w:rsidR="00F93097" w:rsidRPr="007F56D6" w:rsidRDefault="00F93097" w:rsidP="00917A9E">
            <w:pPr>
              <w:spacing w:beforeLines="60" w:before="144" w:afterLines="60" w:after="144"/>
              <w:ind w:left="1" w:right="40"/>
              <w:rPr>
                <w:color w:val="455560"/>
                <w:sz w:val="18"/>
                <w:szCs w:val="18"/>
              </w:rPr>
            </w:pPr>
            <w:r w:rsidRPr="007F56D6">
              <w:rPr>
                <w:color w:val="455560"/>
                <w:sz w:val="18"/>
                <w:szCs w:val="18"/>
              </w:rPr>
              <w:t xml:space="preserve">The pension credit awarded to members transferring in will be calculated in line with the non-Club transfer in formulae.  </w:t>
            </w:r>
          </w:p>
        </w:tc>
      </w:tr>
      <w:tr w:rsidR="00F93097" w:rsidRPr="00E32FAE" w14:paraId="6CFAB73A" w14:textId="77777777">
        <w:trPr>
          <w:trHeight w:val="971"/>
        </w:trPr>
        <w:tc>
          <w:tcPr>
            <w:tcW w:w="1125" w:type="dxa"/>
            <w:vMerge w:val="restart"/>
            <w:tcBorders>
              <w:top w:val="single" w:sz="4" w:space="0" w:color="000000"/>
              <w:left w:val="single" w:sz="4" w:space="0" w:color="000000"/>
              <w:right w:val="single" w:sz="4" w:space="0" w:color="000000"/>
            </w:tcBorders>
            <w:vAlign w:val="center"/>
          </w:tcPr>
          <w:p w14:paraId="03B68D6D" w14:textId="77777777" w:rsidR="00F93097" w:rsidRPr="007F56D6" w:rsidRDefault="00F93097" w:rsidP="00917A9E">
            <w:pPr>
              <w:spacing w:beforeLines="60" w:before="144" w:afterLines="60" w:after="144"/>
              <w:ind w:right="58"/>
              <w:jc w:val="center"/>
              <w:rPr>
                <w:color w:val="455560"/>
                <w:sz w:val="18"/>
                <w:szCs w:val="18"/>
              </w:rPr>
            </w:pPr>
            <w:r w:rsidRPr="007F56D6">
              <w:rPr>
                <w:color w:val="455560"/>
                <w:sz w:val="18"/>
                <w:szCs w:val="18"/>
              </w:rPr>
              <w:t>Out</w:t>
            </w:r>
          </w:p>
        </w:tc>
        <w:tc>
          <w:tcPr>
            <w:tcW w:w="1983" w:type="dxa"/>
            <w:tcBorders>
              <w:top w:val="single" w:sz="4" w:space="0" w:color="000000"/>
              <w:left w:val="single" w:sz="4" w:space="0" w:color="000000"/>
              <w:bottom w:val="single" w:sz="4" w:space="0" w:color="000000"/>
              <w:right w:val="single" w:sz="4" w:space="0" w:color="000000"/>
            </w:tcBorders>
          </w:tcPr>
          <w:p w14:paraId="0D5C45F9" w14:textId="77777777" w:rsidR="00F93097" w:rsidRPr="007F56D6" w:rsidRDefault="00F93097" w:rsidP="00917A9E">
            <w:pPr>
              <w:spacing w:beforeLines="60" w:before="144" w:afterLines="60" w:after="144"/>
              <w:ind w:right="46"/>
              <w:rPr>
                <w:color w:val="455560"/>
                <w:sz w:val="18"/>
                <w:szCs w:val="18"/>
              </w:rPr>
            </w:pPr>
            <w:r w:rsidRPr="007F56D6">
              <w:rPr>
                <w:color w:val="455560"/>
                <w:sz w:val="18"/>
                <w:szCs w:val="18"/>
              </w:rPr>
              <w:t>1 member only – GAD guidance</w:t>
            </w:r>
          </w:p>
          <w:p w14:paraId="27F51DDA" w14:textId="77777777" w:rsidR="00F93097" w:rsidRPr="007F56D6" w:rsidRDefault="00F93097" w:rsidP="00917A9E">
            <w:pPr>
              <w:spacing w:beforeLines="60" w:before="144" w:afterLines="60" w:after="144"/>
              <w:rPr>
                <w:color w:val="455560"/>
                <w:sz w:val="18"/>
                <w:szCs w:val="18"/>
              </w:rPr>
            </w:pPr>
            <w:r w:rsidRPr="007F56D6">
              <w:rPr>
                <w:color w:val="455560"/>
                <w:sz w:val="18"/>
                <w:szCs w:val="18"/>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186F71C" w14:textId="77777777" w:rsidR="00F93097" w:rsidRPr="007F56D6" w:rsidRDefault="00F93097" w:rsidP="00917A9E">
            <w:pPr>
              <w:spacing w:beforeLines="60" w:before="144" w:afterLines="60" w:after="144"/>
              <w:ind w:left="1" w:right="52"/>
              <w:rPr>
                <w:color w:val="455560"/>
                <w:sz w:val="18"/>
                <w:szCs w:val="18"/>
              </w:rPr>
            </w:pPr>
            <w:r w:rsidRPr="007F56D6">
              <w:rPr>
                <w:color w:val="455560"/>
                <w:sz w:val="18"/>
                <w:szCs w:val="18"/>
              </w:rPr>
              <w:t>CETV in accordance with GAD guidance</w:t>
            </w:r>
          </w:p>
          <w:p w14:paraId="31C2A884" w14:textId="77777777" w:rsidR="00F93097" w:rsidRPr="007F56D6" w:rsidRDefault="00F93097" w:rsidP="00917A9E">
            <w:pPr>
              <w:spacing w:beforeLines="60" w:before="144" w:afterLines="60" w:after="144"/>
              <w:ind w:left="1" w:right="52"/>
              <w:rPr>
                <w:color w:val="455560"/>
                <w:sz w:val="18"/>
                <w:szCs w:val="18"/>
              </w:rPr>
            </w:pPr>
            <w:r w:rsidRPr="007F56D6">
              <w:rPr>
                <w:color w:val="455560"/>
                <w:sz w:val="18"/>
                <w:szCs w:val="18"/>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3C7A467" w14:textId="77777777" w:rsidR="00F93097" w:rsidRPr="007F56D6" w:rsidRDefault="00F93097" w:rsidP="00917A9E">
            <w:pPr>
              <w:spacing w:beforeLines="60" w:before="144" w:afterLines="60" w:after="144"/>
              <w:ind w:left="1" w:right="40"/>
              <w:rPr>
                <w:color w:val="455560"/>
                <w:sz w:val="18"/>
                <w:szCs w:val="18"/>
              </w:rPr>
            </w:pPr>
            <w:r w:rsidRPr="007F56D6">
              <w:rPr>
                <w:color w:val="455560"/>
                <w:sz w:val="18"/>
                <w:szCs w:val="18"/>
              </w:rPr>
              <w:t>The transfer value paid to the receiving scheme will be calculated in line with the CETV transfer-out formulae.</w:t>
            </w:r>
          </w:p>
        </w:tc>
      </w:tr>
      <w:tr w:rsidR="00F93097" w:rsidRPr="00E32FAE" w14:paraId="127AAA6B" w14:textId="77777777">
        <w:trPr>
          <w:trHeight w:val="1894"/>
        </w:trPr>
        <w:tc>
          <w:tcPr>
            <w:tcW w:w="1125" w:type="dxa"/>
            <w:vMerge/>
            <w:tcBorders>
              <w:left w:val="single" w:sz="4" w:space="0" w:color="000000"/>
              <w:bottom w:val="single" w:sz="4" w:space="0" w:color="000000"/>
              <w:right w:val="single" w:sz="4" w:space="0" w:color="000000"/>
            </w:tcBorders>
            <w:vAlign w:val="center"/>
          </w:tcPr>
          <w:p w14:paraId="69543047" w14:textId="77777777" w:rsidR="00F93097" w:rsidRPr="007F56D6" w:rsidRDefault="00F93097" w:rsidP="00917A9E">
            <w:pPr>
              <w:spacing w:beforeLines="60" w:before="144" w:afterLines="60" w:after="144"/>
              <w:ind w:right="58"/>
              <w:jc w:val="center"/>
              <w:rPr>
                <w:color w:val="455560"/>
                <w:sz w:val="18"/>
                <w:szCs w:val="18"/>
              </w:rPr>
            </w:pPr>
          </w:p>
        </w:tc>
        <w:tc>
          <w:tcPr>
            <w:tcW w:w="1983" w:type="dxa"/>
            <w:tcBorders>
              <w:top w:val="single" w:sz="4" w:space="0" w:color="000000"/>
              <w:left w:val="single" w:sz="4" w:space="0" w:color="000000"/>
              <w:bottom w:val="single" w:sz="4" w:space="0" w:color="000000"/>
              <w:right w:val="single" w:sz="4" w:space="0" w:color="000000"/>
            </w:tcBorders>
          </w:tcPr>
          <w:p w14:paraId="5DCD144B" w14:textId="77777777" w:rsidR="00F93097" w:rsidRPr="007F56D6" w:rsidRDefault="00F93097" w:rsidP="00917A9E">
            <w:pPr>
              <w:spacing w:beforeLines="60" w:before="144" w:afterLines="60" w:after="144"/>
              <w:ind w:right="46"/>
              <w:rPr>
                <w:color w:val="455560"/>
                <w:sz w:val="18"/>
                <w:szCs w:val="18"/>
              </w:rPr>
            </w:pPr>
            <w:r w:rsidRPr="007F56D6">
              <w:rPr>
                <w:color w:val="455560"/>
                <w:sz w:val="18"/>
                <w:szCs w:val="18"/>
              </w:rPr>
              <w:t xml:space="preserve">2 or more members – </w:t>
            </w:r>
          </w:p>
          <w:p w14:paraId="39B0985C" w14:textId="469F2B28" w:rsidR="00F93097" w:rsidRPr="007F56D6" w:rsidRDefault="00F93097" w:rsidP="00917A9E">
            <w:pPr>
              <w:spacing w:beforeLines="60" w:before="144" w:afterLines="60" w:after="144"/>
              <w:rPr>
                <w:color w:val="455560"/>
                <w:sz w:val="18"/>
                <w:szCs w:val="18"/>
              </w:rPr>
            </w:pPr>
            <w:r w:rsidRPr="007F56D6">
              <w:rPr>
                <w:color w:val="455560"/>
                <w:sz w:val="18"/>
                <w:szCs w:val="18"/>
              </w:rPr>
              <w:t>Regulation 9</w:t>
            </w:r>
            <w:r>
              <w:rPr>
                <w:color w:val="455560"/>
                <w:sz w:val="18"/>
                <w:szCs w:val="18"/>
              </w:rPr>
              <w:t>3</w:t>
            </w:r>
            <w:r w:rsidRPr="007F56D6">
              <w:rPr>
                <w:color w:val="455560"/>
                <w:sz w:val="18"/>
                <w:szCs w:val="18"/>
              </w:rPr>
              <w:t xml:space="preserve"> of the Local Government Pension Scheme</w:t>
            </w:r>
            <w:r>
              <w:rPr>
                <w:color w:val="455560"/>
                <w:sz w:val="18"/>
                <w:szCs w:val="18"/>
              </w:rPr>
              <w:t xml:space="preserve"> (Scotland)</w:t>
            </w:r>
            <w:r w:rsidRPr="007F56D6">
              <w:rPr>
                <w:color w:val="455560"/>
                <w:sz w:val="18"/>
                <w:szCs w:val="18"/>
              </w:rPr>
              <w:t xml:space="preserve"> Regulations 201</w:t>
            </w:r>
            <w:r>
              <w:rPr>
                <w:color w:val="455560"/>
                <w:sz w:val="18"/>
                <w:szCs w:val="18"/>
              </w:rPr>
              <w:t>8</w:t>
            </w:r>
          </w:p>
        </w:tc>
        <w:tc>
          <w:tcPr>
            <w:tcW w:w="3827" w:type="dxa"/>
            <w:tcBorders>
              <w:top w:val="single" w:sz="4" w:space="0" w:color="000000"/>
              <w:left w:val="single" w:sz="4" w:space="0" w:color="000000"/>
              <w:bottom w:val="single" w:sz="4" w:space="0" w:color="000000"/>
              <w:right w:val="single" w:sz="4" w:space="0" w:color="000000"/>
            </w:tcBorders>
          </w:tcPr>
          <w:p w14:paraId="7C59A50F" w14:textId="675291B9" w:rsidR="00F93097" w:rsidRPr="007F56D6" w:rsidRDefault="00F93097" w:rsidP="00917A9E">
            <w:pPr>
              <w:spacing w:beforeLines="60" w:before="144" w:afterLines="60" w:after="144"/>
              <w:ind w:left="1" w:right="52"/>
              <w:rPr>
                <w:color w:val="455560"/>
                <w:sz w:val="18"/>
                <w:szCs w:val="18"/>
              </w:rPr>
            </w:pPr>
            <w:r w:rsidRPr="007F56D6">
              <w:rPr>
                <w:color w:val="455560"/>
                <w:sz w:val="18"/>
                <w:szCs w:val="18"/>
              </w:rPr>
              <w:t xml:space="preserve">Where agreement can be reached, the fund and the receiving scheme (and their two actuaries) may agree to a negotiated bulk transfer arrangement. </w:t>
            </w:r>
          </w:p>
          <w:p w14:paraId="1F824550" w14:textId="65AD42AB" w:rsidR="00F93097" w:rsidRPr="007F56D6" w:rsidRDefault="00F93097" w:rsidP="00917A9E">
            <w:pPr>
              <w:spacing w:beforeLines="60" w:before="144" w:afterLines="60" w:after="144"/>
              <w:ind w:left="1"/>
              <w:rPr>
                <w:color w:val="455560"/>
                <w:sz w:val="18"/>
                <w:szCs w:val="18"/>
              </w:rPr>
            </w:pPr>
            <w:r w:rsidRPr="007F56D6">
              <w:rPr>
                <w:color w:val="455560"/>
                <w:sz w:val="18"/>
                <w:szCs w:val="18"/>
              </w:rPr>
              <w:t>Or</w:t>
            </w:r>
          </w:p>
          <w:p w14:paraId="63A9D83D" w14:textId="77777777" w:rsidR="00F93097" w:rsidRPr="007F56D6" w:rsidRDefault="00F93097" w:rsidP="00917A9E">
            <w:pPr>
              <w:spacing w:beforeLines="60" w:before="144" w:afterLines="60" w:after="144"/>
              <w:ind w:left="1" w:right="51"/>
              <w:rPr>
                <w:color w:val="455560"/>
                <w:sz w:val="18"/>
                <w:szCs w:val="18"/>
              </w:rPr>
            </w:pPr>
            <w:r w:rsidRPr="007F56D6">
              <w:rPr>
                <w:color w:val="455560"/>
                <w:sz w:val="18"/>
                <w:szCs w:val="18"/>
              </w:rPr>
              <w:t xml:space="preserve">Where agreement cannot be reached, revert to cash equivalent transfer values under </w:t>
            </w:r>
          </w:p>
          <w:p w14:paraId="05D9959F" w14:textId="77777777" w:rsidR="00F93097" w:rsidRPr="007F56D6" w:rsidRDefault="00F93097" w:rsidP="00917A9E">
            <w:pPr>
              <w:spacing w:beforeLines="60" w:before="144" w:afterLines="60" w:after="144"/>
              <w:ind w:left="1" w:right="52"/>
              <w:rPr>
                <w:color w:val="455560"/>
                <w:sz w:val="18"/>
                <w:szCs w:val="18"/>
              </w:rPr>
            </w:pPr>
            <w:r w:rsidRPr="007F56D6">
              <w:rPr>
                <w:color w:val="455560"/>
                <w:sz w:val="18"/>
                <w:szCs w:val="18"/>
              </w:rPr>
              <w:t>GAD guidance</w:t>
            </w:r>
          </w:p>
        </w:tc>
        <w:tc>
          <w:tcPr>
            <w:tcW w:w="2693" w:type="dxa"/>
            <w:tcBorders>
              <w:top w:val="single" w:sz="4" w:space="0" w:color="000000"/>
              <w:left w:val="single" w:sz="4" w:space="0" w:color="000000"/>
              <w:bottom w:val="single" w:sz="4" w:space="0" w:color="000000"/>
              <w:right w:val="single" w:sz="4" w:space="0" w:color="000000"/>
            </w:tcBorders>
          </w:tcPr>
          <w:p w14:paraId="4BC2C0BC" w14:textId="42E37981" w:rsidR="00F93097" w:rsidRPr="007F56D6" w:rsidRDefault="00F93097" w:rsidP="00917A9E">
            <w:pPr>
              <w:spacing w:beforeLines="60" w:before="144" w:afterLines="60" w:after="144"/>
              <w:ind w:left="1"/>
              <w:rPr>
                <w:color w:val="455560"/>
                <w:sz w:val="18"/>
                <w:szCs w:val="18"/>
              </w:rPr>
            </w:pPr>
            <w:r w:rsidRPr="007F56D6">
              <w:rPr>
                <w:color w:val="455560"/>
                <w:sz w:val="18"/>
                <w:szCs w:val="18"/>
              </w:rPr>
              <w:t>The fund's default policy is to offer the receiving scheme transfers out calculated in line with the CETV transfer-out formulae.</w:t>
            </w:r>
          </w:p>
          <w:p w14:paraId="0968BF2C" w14:textId="77777777" w:rsidR="00F93097" w:rsidRPr="007F56D6" w:rsidRDefault="00F93097" w:rsidP="00917A9E">
            <w:pPr>
              <w:spacing w:beforeLines="60" w:before="144" w:afterLines="60" w:after="144"/>
              <w:ind w:left="1" w:right="40"/>
              <w:rPr>
                <w:color w:val="455560"/>
                <w:sz w:val="18"/>
                <w:szCs w:val="18"/>
              </w:rPr>
            </w:pPr>
            <w:r w:rsidRPr="007F56D6">
              <w:rPr>
                <w:color w:val="455560"/>
                <w:sz w:val="18"/>
                <w:szCs w:val="18"/>
              </w:rPr>
              <w:t>Discretion exists to amend this to reflect specific circumstances of the situation.</w:t>
            </w:r>
          </w:p>
        </w:tc>
      </w:tr>
    </w:tbl>
    <w:p w14:paraId="06E87D87" w14:textId="77777777" w:rsidR="00F93097" w:rsidRDefault="00F93097" w:rsidP="00F93097"/>
    <w:p w14:paraId="20244F6E" w14:textId="77777777" w:rsidR="00F93097" w:rsidRDefault="00F93097" w:rsidP="00F93097">
      <w:pPr>
        <w:spacing w:after="20"/>
        <w:rPr>
          <w:b/>
          <w:color w:val="455560"/>
          <w:lang w:eastAsia="en-US"/>
        </w:rPr>
      </w:pPr>
      <w:r>
        <w:br w:type="page"/>
      </w:r>
    </w:p>
    <w:p w14:paraId="2C07E8F5" w14:textId="1C9B029E" w:rsidR="00F93097" w:rsidRDefault="00F93097" w:rsidP="00DB668C">
      <w:pPr>
        <w:pStyle w:val="Appendix2"/>
      </w:pPr>
      <w:r>
        <w:t xml:space="preserve">F6 </w:t>
      </w:r>
      <w:r w:rsidR="00317721">
        <w:tab/>
      </w:r>
      <w:r>
        <w:t>Practicalities and process</w:t>
      </w:r>
    </w:p>
    <w:p w14:paraId="4680C91C" w14:textId="77777777" w:rsidR="00F93097" w:rsidRDefault="00F93097" w:rsidP="00F93097">
      <w:pPr>
        <w:pStyle w:val="Appendix3"/>
      </w:pPr>
      <w:r>
        <w:t xml:space="preserve">F6.1 Format of transfer payment </w:t>
      </w:r>
    </w:p>
    <w:p w14:paraId="55B0034C" w14:textId="77777777" w:rsidR="00F93097" w:rsidRDefault="00F93097" w:rsidP="00F93097">
      <w:pPr>
        <w:pStyle w:val="BodyTextGrey"/>
      </w:pPr>
      <w:r>
        <w:t>Ordinarily, payment will be in cash.</w:t>
      </w:r>
    </w:p>
    <w:p w14:paraId="5C7B696D" w14:textId="77777777" w:rsidR="00F93097" w:rsidRDefault="00F93097" w:rsidP="00F93097">
      <w:pPr>
        <w:pStyle w:val="BodyTextGrey"/>
      </w:pPr>
      <w:r>
        <w:t xml:space="preserve">A deduction from the bulk transfer may be made for any administration, legal and transaction costs incurred by the Fund </w:t>
      </w:r>
      <w:proofErr w:type="gramStart"/>
      <w:r>
        <w:t>as a result of</w:t>
      </w:r>
      <w:proofErr w:type="gramEnd"/>
      <w:r>
        <w:t xml:space="preserve"> having to disinvest any assets to meet the form of payment that suits the receiving scheme. </w:t>
      </w:r>
    </w:p>
    <w:p w14:paraId="05886D3E" w14:textId="77777777" w:rsidR="00F93097" w:rsidRDefault="00F93097" w:rsidP="00F93097">
      <w:pPr>
        <w:pStyle w:val="Appendix3"/>
      </w:pPr>
      <w:r>
        <w:t xml:space="preserve">F6.2 Impact on transferring employer </w:t>
      </w:r>
    </w:p>
    <w:p w14:paraId="5DD3938D" w14:textId="77777777" w:rsidR="00F93097" w:rsidRDefault="00F93097" w:rsidP="00F93097">
      <w:pPr>
        <w:pStyle w:val="BodyTextGrey"/>
      </w:pPr>
      <w:r>
        <w:t xml:space="preserve">Any transfer out or in of pension rights may </w:t>
      </w:r>
      <w:proofErr w:type="gramStart"/>
      <w:r>
        <w:t>have an effect on</w:t>
      </w:r>
      <w:proofErr w:type="gramEnd"/>
      <w:r>
        <w:t xml:space="preserve"> the valuation position of the employer and consequently their individual contribution rate. </w:t>
      </w:r>
    </w:p>
    <w:p w14:paraId="18D072A0" w14:textId="77777777" w:rsidR="00F93097" w:rsidRDefault="00F93097" w:rsidP="00F93097">
      <w:pPr>
        <w:pStyle w:val="BodyTextGrey"/>
      </w:pPr>
      <w:r>
        <w:t xml:space="preserve">The Fund will agree with the transferring employer how this change is dealt with.  Though it is likely this will be through adjustments to its employer contribution rate, the Fund may require a lump sum payment or instalments of lump sums to cover any relative deterioration in funding position, for example where the deterioration in funding position is a large proportion of its total notional assets and liabilities.  Where the transfer is small relative to the employer’s share of the Fund, any adjustment may be deferred to the next valuation. </w:t>
      </w:r>
    </w:p>
    <w:p w14:paraId="0FCA14E8" w14:textId="77777777" w:rsidR="00F93097" w:rsidRDefault="00F93097" w:rsidP="00F93097">
      <w:pPr>
        <w:pStyle w:val="Appendix3"/>
      </w:pPr>
      <w:r>
        <w:t xml:space="preserve">F6.3 Consent </w:t>
      </w:r>
    </w:p>
    <w:p w14:paraId="5690C546" w14:textId="77777777" w:rsidR="00F93097" w:rsidRDefault="00F93097" w:rsidP="00F93097">
      <w:pPr>
        <w:pStyle w:val="BodyTextGrey"/>
      </w:pPr>
      <w:r>
        <w:t xml:space="preserve">Where required within the Regulations, for any bulk transfer the Administering Authority will ensure the necessary consent is obtained from each individual eligible to be part of the transfer. </w:t>
      </w:r>
    </w:p>
    <w:p w14:paraId="0AECE2BA" w14:textId="77777777" w:rsidR="00F93097" w:rsidRDefault="00F93097" w:rsidP="00F93097">
      <w:pPr>
        <w:pStyle w:val="Appendix3"/>
      </w:pPr>
      <w:r>
        <w:t xml:space="preserve">F6.4 Approval process </w:t>
      </w:r>
    </w:p>
    <w:p w14:paraId="3CC2BA4F" w14:textId="77777777" w:rsidR="00F93097" w:rsidRDefault="00F93097" w:rsidP="00F93097">
      <w:pPr>
        <w:pStyle w:val="BodyTextGrey"/>
      </w:pPr>
      <w:r>
        <w:t>The Fund will normally agree to bulk transfers into or out of the Fund where this policy is adhered to. All bulk transfers that represent a departure from this policy will be put to the Pensions Committee for agreement, detailing any proposals to depart from this policy.</w:t>
      </w:r>
    </w:p>
    <w:p w14:paraId="15724025" w14:textId="77777777" w:rsidR="00F93097" w:rsidRDefault="00F93097" w:rsidP="00F93097">
      <w:pPr>
        <w:pStyle w:val="Appendix3"/>
      </w:pPr>
      <w:r>
        <w:t xml:space="preserve">F6.5 Non-negotiable </w:t>
      </w:r>
    </w:p>
    <w:p w14:paraId="5B137DF1" w14:textId="77777777" w:rsidR="00F93097" w:rsidRDefault="00F93097" w:rsidP="00F93097">
      <w:pPr>
        <w:pStyle w:val="BodyTextGrey"/>
      </w:pPr>
      <w:r>
        <w:t>It should be noted that, as far as possible, the Fund’s preferred terms on bulk transfers are non-negotiable.  Any differences between the value the Fund is prepared to pay (or receive) and that which the other scheme involved is prepared to accept (or pay) should be dealt with by the employers concerned outside the Fund.</w:t>
      </w:r>
    </w:p>
    <w:p w14:paraId="15D370BA" w14:textId="77777777" w:rsidR="00F93097" w:rsidRDefault="00F93097" w:rsidP="00F93097">
      <w:pPr>
        <w:pStyle w:val="Appendix3"/>
      </w:pPr>
      <w:r>
        <w:t>F6.6 Costs</w:t>
      </w:r>
    </w:p>
    <w:p w14:paraId="6B9851CE" w14:textId="77777777" w:rsidR="00F93097" w:rsidRDefault="00F93097" w:rsidP="00F93097">
      <w:pPr>
        <w:pStyle w:val="BodyTextGrey"/>
      </w:pPr>
      <w:r>
        <w:t>Actuarial and other professional costs will be recharged in full to the employer.</w:t>
      </w:r>
    </w:p>
    <w:p w14:paraId="4D873B8E" w14:textId="01C03361" w:rsidR="00F93097" w:rsidRDefault="00F93097" w:rsidP="00DB668C">
      <w:pPr>
        <w:pStyle w:val="Appendix2"/>
      </w:pPr>
      <w:bookmarkStart w:id="119" w:name="_Toc85536127"/>
      <w:bookmarkEnd w:id="119"/>
      <w:r>
        <w:t xml:space="preserve">F7 </w:t>
      </w:r>
      <w:r w:rsidR="00317721">
        <w:tab/>
      </w:r>
      <w:r>
        <w:t>Related Policies</w:t>
      </w:r>
    </w:p>
    <w:p w14:paraId="580489D5" w14:textId="77777777" w:rsidR="00F93097" w:rsidRDefault="00F93097" w:rsidP="00F93097">
      <w:pPr>
        <w:pStyle w:val="BodyTextGrey"/>
        <w:rPr>
          <w:iCs w:val="0"/>
        </w:rPr>
      </w:pPr>
      <w:r w:rsidRPr="00C45D5B">
        <w:t>The Fund’s general approach to bulk transfers is set out in the Funding Strategy Statement, specifically “Section 6 –What happens if an employer has a bulk transfer of staff?”</w:t>
      </w:r>
    </w:p>
    <w:p w14:paraId="412882A7" w14:textId="77777777" w:rsidR="00F93097" w:rsidRDefault="00F93097" w:rsidP="00F93097">
      <w:pPr>
        <w:spacing w:after="20"/>
        <w:rPr>
          <w:color w:val="4472C4" w:themeColor="accent1"/>
          <w:sz w:val="36"/>
          <w:szCs w:val="36"/>
          <w:lang w:eastAsia="en-US"/>
        </w:rPr>
      </w:pPr>
      <w:r>
        <w:br w:type="page"/>
      </w:r>
    </w:p>
    <w:p w14:paraId="4A290514" w14:textId="77777777" w:rsidR="00F93097" w:rsidRDefault="00F93097" w:rsidP="00317721">
      <w:pPr>
        <w:pStyle w:val="Heading2"/>
      </w:pPr>
      <w:bookmarkStart w:id="120" w:name="_Toc152160465"/>
      <w:r>
        <w:t>Appendix G – Policy on cessations</w:t>
      </w:r>
      <w:bookmarkEnd w:id="120"/>
    </w:p>
    <w:tbl>
      <w:tblPr>
        <w:tblStyle w:val="TableGrid"/>
        <w:tblW w:w="0" w:type="auto"/>
        <w:tblLayout w:type="fixed"/>
        <w:tblLook w:val="04A0" w:firstRow="1" w:lastRow="0" w:firstColumn="1" w:lastColumn="0" w:noHBand="0" w:noVBand="1"/>
      </w:tblPr>
      <w:tblGrid>
        <w:gridCol w:w="3425"/>
        <w:gridCol w:w="3250"/>
      </w:tblGrid>
      <w:tr w:rsidR="00F93097" w14:paraId="2794B626" w14:textId="77777777">
        <w:trPr>
          <w:trHeight w:val="301"/>
        </w:trPr>
        <w:tc>
          <w:tcPr>
            <w:tcW w:w="3425" w:type="dxa"/>
          </w:tcPr>
          <w:p w14:paraId="22B4A3E3" w14:textId="77777777" w:rsidR="00F93097" w:rsidRPr="007C2164" w:rsidRDefault="00F93097">
            <w:pPr>
              <w:pStyle w:val="BodyTextGrey"/>
              <w:spacing w:after="0"/>
            </w:pPr>
            <w:r w:rsidRPr="007C2164">
              <w:t>Effective date of policy</w:t>
            </w:r>
          </w:p>
        </w:tc>
        <w:tc>
          <w:tcPr>
            <w:tcW w:w="3250" w:type="dxa"/>
          </w:tcPr>
          <w:p w14:paraId="07000A38" w14:textId="77777777" w:rsidR="00F93097" w:rsidRPr="007C2164" w:rsidRDefault="00F93097">
            <w:pPr>
              <w:pStyle w:val="BodyTextGrey"/>
              <w:spacing w:after="0"/>
            </w:pPr>
            <w:r>
              <w:t>01 April 2024</w:t>
            </w:r>
          </w:p>
        </w:tc>
      </w:tr>
      <w:tr w:rsidR="00F93097" w14:paraId="2BBB92C5" w14:textId="77777777">
        <w:trPr>
          <w:trHeight w:val="301"/>
        </w:trPr>
        <w:tc>
          <w:tcPr>
            <w:tcW w:w="3425" w:type="dxa"/>
          </w:tcPr>
          <w:p w14:paraId="0F1CA54D" w14:textId="77777777" w:rsidR="00F93097" w:rsidRPr="007C2164" w:rsidRDefault="00F93097">
            <w:pPr>
              <w:pStyle w:val="BodyTextGrey"/>
              <w:spacing w:after="0"/>
            </w:pPr>
            <w:r w:rsidRPr="007C2164">
              <w:t>Date approved</w:t>
            </w:r>
          </w:p>
        </w:tc>
        <w:tc>
          <w:tcPr>
            <w:tcW w:w="3250" w:type="dxa"/>
          </w:tcPr>
          <w:p w14:paraId="58FE381D" w14:textId="77777777" w:rsidR="00F93097" w:rsidRPr="007C2164" w:rsidRDefault="00F93097">
            <w:pPr>
              <w:pStyle w:val="BodyTextGrey"/>
              <w:spacing w:after="0"/>
            </w:pPr>
            <w:r>
              <w:t>28 March 2024</w:t>
            </w:r>
          </w:p>
        </w:tc>
      </w:tr>
      <w:tr w:rsidR="00F93097" w14:paraId="33750630" w14:textId="77777777">
        <w:trPr>
          <w:trHeight w:val="301"/>
        </w:trPr>
        <w:tc>
          <w:tcPr>
            <w:tcW w:w="3425" w:type="dxa"/>
          </w:tcPr>
          <w:p w14:paraId="55FA4810" w14:textId="77777777" w:rsidR="00F93097" w:rsidRPr="007C2164" w:rsidRDefault="00F93097">
            <w:pPr>
              <w:pStyle w:val="BodyTextGrey"/>
              <w:spacing w:after="0"/>
            </w:pPr>
            <w:r w:rsidRPr="007C2164">
              <w:t>Next review</w:t>
            </w:r>
          </w:p>
        </w:tc>
        <w:tc>
          <w:tcPr>
            <w:tcW w:w="3250" w:type="dxa"/>
          </w:tcPr>
          <w:p w14:paraId="7DAB6600" w14:textId="77777777" w:rsidR="00F93097" w:rsidRPr="007C2164" w:rsidRDefault="00F93097">
            <w:pPr>
              <w:pStyle w:val="BodyTextGrey"/>
              <w:spacing w:after="0"/>
            </w:pPr>
            <w:r>
              <w:t>2026</w:t>
            </w:r>
          </w:p>
        </w:tc>
      </w:tr>
    </w:tbl>
    <w:p w14:paraId="2D96D567" w14:textId="77777777" w:rsidR="00F93097" w:rsidRPr="005C24AE" w:rsidRDefault="00F93097" w:rsidP="00317721">
      <w:pPr>
        <w:pStyle w:val="Appendix2"/>
        <w:ind w:firstLine="0"/>
      </w:pPr>
      <w:r w:rsidRPr="005C24AE">
        <w:t>Introduction</w:t>
      </w:r>
    </w:p>
    <w:p w14:paraId="0E859CEC" w14:textId="77777777" w:rsidR="00F93097" w:rsidRDefault="00F93097" w:rsidP="00F93097">
      <w:pPr>
        <w:pStyle w:val="BodyTextGrey"/>
      </w:pPr>
      <w:r>
        <w:t xml:space="preserve">The purpose of this policy is to set out the Administering Authority’s approach to dealing with circumstances where a scheme employer leaves the Fund and becomes an </w:t>
      </w:r>
      <w:proofErr w:type="spellStart"/>
      <w:r>
        <w:t>exiting</w:t>
      </w:r>
      <w:proofErr w:type="spellEnd"/>
      <w:r>
        <w:t xml:space="preserve"> employer (a cessation event).</w:t>
      </w:r>
    </w:p>
    <w:p w14:paraId="36E1CEAB" w14:textId="77777777" w:rsidR="00F93097" w:rsidRPr="00D42563" w:rsidRDefault="00F93097" w:rsidP="00F93097">
      <w:pPr>
        <w:pStyle w:val="BodyTextGrey"/>
      </w:pPr>
      <w:r>
        <w:t xml:space="preserve">It should be noted that this policy is not exhaustive. </w:t>
      </w:r>
      <w:r w:rsidRPr="00D42563">
        <w:t xml:space="preserve">Each cessation will be treated on a case-by-case basis, however certain principles will apply as governed by the regulatory framework and the </w:t>
      </w:r>
      <w:r>
        <w:t>Fund</w:t>
      </w:r>
      <w:r w:rsidRPr="00D42563">
        <w:t>’s discretionary policies (see below)</w:t>
      </w:r>
      <w:r>
        <w:t>.</w:t>
      </w:r>
    </w:p>
    <w:p w14:paraId="0FC25429" w14:textId="599D06C6" w:rsidR="00F93097" w:rsidRDefault="00F93097" w:rsidP="00DB668C">
      <w:pPr>
        <w:pStyle w:val="Appendix2"/>
      </w:pPr>
      <w:r>
        <w:t xml:space="preserve">G1 </w:t>
      </w:r>
      <w:r w:rsidR="00317721">
        <w:tab/>
      </w:r>
      <w:r>
        <w:t>Aims and Objectives</w:t>
      </w:r>
    </w:p>
    <w:p w14:paraId="2D235ACC" w14:textId="77777777" w:rsidR="00F93097" w:rsidRDefault="00F93097" w:rsidP="00F93097">
      <w:pPr>
        <w:pStyle w:val="BodyTextGrey"/>
      </w:pPr>
      <w:r>
        <w:t>The Administering Authority’s aims and objectives related to this policy are as follows:</w:t>
      </w:r>
    </w:p>
    <w:p w14:paraId="405F1CE6" w14:textId="1556C482" w:rsidR="00F93097" w:rsidRDefault="00F93097" w:rsidP="00F9314B">
      <w:pPr>
        <w:pStyle w:val="BodyTextGrey"/>
        <w:numPr>
          <w:ilvl w:val="0"/>
          <w:numId w:val="35"/>
        </w:numPr>
      </w:pPr>
      <w:r>
        <w:t xml:space="preserve">To confirm the </w:t>
      </w:r>
      <w:r w:rsidRPr="00FC5326">
        <w:t xml:space="preserve">approach for the treatment and valuation of </w:t>
      </w:r>
      <w:r w:rsidR="00B8053C" w:rsidRPr="00FC5326">
        <w:t>liabilities</w:t>
      </w:r>
      <w:r w:rsidR="00B8053C">
        <w:t xml:space="preserve"> under</w:t>
      </w:r>
      <w:r w:rsidR="00211690">
        <w:t xml:space="preserve"> Regulation 61 (2) </w:t>
      </w:r>
      <w:r w:rsidRPr="00FC5326">
        <w:t>for employers leaving the Fund.</w:t>
      </w:r>
    </w:p>
    <w:p w14:paraId="5CF13188" w14:textId="41C34FDD" w:rsidR="009619E2" w:rsidRPr="00FC5326" w:rsidRDefault="009619E2" w:rsidP="00577D8A">
      <w:pPr>
        <w:pStyle w:val="BodyTextGrey"/>
        <w:numPr>
          <w:ilvl w:val="0"/>
          <w:numId w:val="35"/>
        </w:numPr>
        <w:spacing w:before="20" w:after="200" w:line="280" w:lineRule="atLeast"/>
      </w:pPr>
      <w:r>
        <w:t>To confirm the approach for the treatment and valuation of liabilities for employers requesting an indicative valuation under Regulation 61 (2A).</w:t>
      </w:r>
    </w:p>
    <w:p w14:paraId="1BE486C3" w14:textId="77777777" w:rsidR="00F93097" w:rsidRPr="00FC5326" w:rsidRDefault="00F93097" w:rsidP="00F9314B">
      <w:pPr>
        <w:pStyle w:val="BodyTextGrey"/>
        <w:numPr>
          <w:ilvl w:val="0"/>
          <w:numId w:val="35"/>
        </w:numPr>
      </w:pPr>
      <w:r w:rsidRPr="00FC5326">
        <w:t>To provide information about how the Fund may apply its discretionary powers when managing employer cessations.</w:t>
      </w:r>
    </w:p>
    <w:p w14:paraId="2912AD33" w14:textId="77777777" w:rsidR="00F93097" w:rsidRDefault="00F93097" w:rsidP="00F9314B">
      <w:pPr>
        <w:pStyle w:val="BodyTextGrey"/>
        <w:numPr>
          <w:ilvl w:val="0"/>
          <w:numId w:val="35"/>
        </w:numPr>
      </w:pPr>
      <w:r w:rsidRPr="00FC5326">
        <w:t>To outline the responsibilities</w:t>
      </w:r>
      <w:r>
        <w:t xml:space="preserve"> of (and flexibilities for) exiting employers, the Administering Authority, the actuary and, where relevant, the original ceding scheme employer (usually a letting authority).</w:t>
      </w:r>
    </w:p>
    <w:p w14:paraId="4C8B4682" w14:textId="7819B2A4" w:rsidR="00F93097" w:rsidRPr="00527BE4" w:rsidRDefault="00F93097" w:rsidP="00DB668C">
      <w:pPr>
        <w:pStyle w:val="Appendix2"/>
      </w:pPr>
      <w:r>
        <w:t xml:space="preserve">G2 </w:t>
      </w:r>
      <w:r w:rsidR="00317721">
        <w:tab/>
      </w:r>
      <w:r w:rsidRPr="00527BE4">
        <w:t>Background</w:t>
      </w:r>
    </w:p>
    <w:p w14:paraId="161CBFEC" w14:textId="3CBD6972" w:rsidR="00F93097" w:rsidRDefault="00F93097" w:rsidP="00F93097">
      <w:pPr>
        <w:pStyle w:val="BodyTextGrey"/>
      </w:pPr>
      <w:r w:rsidRPr="004D0678">
        <w:t xml:space="preserve">As described in the Funding Strategy Statement (FSS), a scheme employer may become an </w:t>
      </w:r>
      <w:proofErr w:type="spellStart"/>
      <w:r w:rsidRPr="004D0678">
        <w:t>exiting</w:t>
      </w:r>
      <w:proofErr w:type="spellEnd"/>
      <w:r w:rsidRPr="004D0678">
        <w:t xml:space="preserve"> employer when a cessation event is triggered e.g. when the last active member stops participating in the Fund.  On cessation from the Fund, the Administering Authority will instruct the Fund actuary to carry out a valuation of assets and liabilities for the exiting employer to determine whether a deficit or surplus exists</w:t>
      </w:r>
      <w:r w:rsidR="009619E2">
        <w:t xml:space="preserve"> under Regulation </w:t>
      </w:r>
      <w:r w:rsidR="00E838CC">
        <w:t>61 (2)</w:t>
      </w:r>
      <w:r w:rsidRPr="004D0678">
        <w:t xml:space="preserve">. The Fund has full discretion over the repayment terms of any deficit, </w:t>
      </w:r>
      <w:proofErr w:type="gramStart"/>
      <w:r w:rsidRPr="004D0678">
        <w:t>however</w:t>
      </w:r>
      <w:proofErr w:type="gramEnd"/>
      <w:r w:rsidRPr="004D0678">
        <w:t xml:space="preserve"> is liable for any surplus through the payment of an exit credit</w:t>
      </w:r>
      <w:r w:rsidR="00E838CC">
        <w:t xml:space="preserve"> (please see “exit credit” section of this appendix)</w:t>
      </w:r>
    </w:p>
    <w:p w14:paraId="37F3A69F" w14:textId="5A89FE37" w:rsidR="003D7683" w:rsidRPr="003D7683" w:rsidRDefault="003D7683" w:rsidP="003D7683">
      <w:pPr>
        <w:pStyle w:val="BodyTextGrey"/>
      </w:pPr>
      <w:r w:rsidRPr="003D7683">
        <w:t xml:space="preserve">A scheme employer may also propose to become an </w:t>
      </w:r>
      <w:proofErr w:type="spellStart"/>
      <w:r w:rsidRPr="003D7683">
        <w:t>exiting</w:t>
      </w:r>
      <w:proofErr w:type="spellEnd"/>
      <w:r w:rsidRPr="003D7683">
        <w:t xml:space="preserve"> employer at a future date and request an indicative valuation at a specific date under Regulation 61 (2A). If the employer ceases participation in the Fund within a 90-day period of the indicative cessation date, the results of the indicative cessation valuation must be used to determine whether a deficit or surplus exists. As in the case of a cessation valuation under Regulation 61 (2) the fund has full discretion over the repayment terms of any deficit, </w:t>
      </w:r>
      <w:r w:rsidR="00DC21CE" w:rsidRPr="003D7683">
        <w:t>however,</w:t>
      </w:r>
      <w:r w:rsidRPr="003D7683">
        <w:t xml:space="preserve"> is liable for any surplus through the payment of an exit credit (please see ‘exit credit’ section of this appendix). </w:t>
      </w:r>
    </w:p>
    <w:p w14:paraId="4B97ACCB" w14:textId="77777777" w:rsidR="003D7683" w:rsidRPr="004D0678" w:rsidRDefault="003D7683" w:rsidP="00F93097">
      <w:pPr>
        <w:pStyle w:val="BodyTextGrey"/>
      </w:pPr>
    </w:p>
    <w:p w14:paraId="67FB7A47" w14:textId="0CE7402E" w:rsidR="00F93097" w:rsidRPr="004D0678" w:rsidRDefault="00F93097" w:rsidP="00DB668C">
      <w:pPr>
        <w:pStyle w:val="Appendix2"/>
      </w:pPr>
      <w:r>
        <w:t xml:space="preserve">G3 </w:t>
      </w:r>
      <w:r w:rsidR="00317721">
        <w:tab/>
      </w:r>
      <w:r w:rsidRPr="004D0678">
        <w:t xml:space="preserve">Guidance and regulatory framework </w:t>
      </w:r>
    </w:p>
    <w:p w14:paraId="358EE2D1" w14:textId="77777777" w:rsidR="00F93097" w:rsidRPr="004D0678" w:rsidRDefault="00F93097" w:rsidP="00F93097">
      <w:pPr>
        <w:pStyle w:val="BodyTextGrey"/>
      </w:pPr>
      <w:r w:rsidRPr="004D0678">
        <w:t>The Local Government Pension Scheme (Scotland) Regulations 2018 contain relevant provisions regarding employers leaving the Fund (</w:t>
      </w:r>
      <w:hyperlink r:id="rId25" w:anchor="r61" w:history="1">
        <w:r w:rsidRPr="004D0678">
          <w:rPr>
            <w:rStyle w:val="Hyperlink"/>
          </w:rPr>
          <w:t>Regulation 61</w:t>
        </w:r>
      </w:hyperlink>
      <w:r w:rsidRPr="004D0678">
        <w:t>) and include the following:</w:t>
      </w:r>
    </w:p>
    <w:p w14:paraId="45A02A6A" w14:textId="77777777" w:rsidR="00F93097" w:rsidRDefault="00F93097" w:rsidP="00F9314B">
      <w:pPr>
        <w:pStyle w:val="BulletHymans"/>
        <w:numPr>
          <w:ilvl w:val="0"/>
          <w:numId w:val="38"/>
        </w:numPr>
      </w:pPr>
      <w:r w:rsidRPr="004D0678">
        <w:t>Regulation 61 (2) – this regulation states that, where an employing authority ceases to be a scheme employer, the Administering Authority is required to obtain an actuarial valuation of the liabilities of current and former employees as at the termination date.  Further, it requires the Rates &amp; Adjustments Certificate to be amended to show the revised contributions due from, or the exit credit payable to, the exiting employer.</w:t>
      </w:r>
    </w:p>
    <w:p w14:paraId="585BAC76" w14:textId="77777777" w:rsidR="009317F3" w:rsidRDefault="009317F3" w:rsidP="009317F3">
      <w:pPr>
        <w:pStyle w:val="ListParagraph"/>
        <w:numPr>
          <w:ilvl w:val="0"/>
          <w:numId w:val="38"/>
        </w:numPr>
        <w:spacing w:before="20" w:after="130" w:line="280" w:lineRule="atLeast"/>
        <w:jc w:val="both"/>
        <w:textAlignment w:val="auto"/>
        <w:rPr>
          <w:rFonts w:cs="Arial"/>
          <w:iCs/>
          <w:color w:val="4B4B4B"/>
          <w:sz w:val="20"/>
          <w:szCs w:val="20"/>
          <w:lang w:eastAsia="en-US"/>
        </w:rPr>
      </w:pPr>
      <w:r w:rsidRPr="00577D8A">
        <w:rPr>
          <w:rFonts w:cs="Arial"/>
          <w:iCs/>
          <w:color w:val="4B4B4B"/>
          <w:sz w:val="20"/>
          <w:szCs w:val="20"/>
          <w:lang w:eastAsia="en-US"/>
        </w:rPr>
        <w:t xml:space="preserve">Regulation 61 (2A) – A person proposing to become an </w:t>
      </w:r>
      <w:proofErr w:type="spellStart"/>
      <w:r w:rsidRPr="00577D8A">
        <w:rPr>
          <w:rFonts w:cs="Arial"/>
          <w:iCs/>
          <w:color w:val="4B4B4B"/>
          <w:sz w:val="20"/>
          <w:szCs w:val="20"/>
          <w:lang w:eastAsia="en-US"/>
        </w:rPr>
        <w:t>exiting</w:t>
      </w:r>
      <w:proofErr w:type="spellEnd"/>
      <w:r w:rsidRPr="00577D8A">
        <w:rPr>
          <w:rFonts w:cs="Arial"/>
          <w:iCs/>
          <w:color w:val="4B4B4B"/>
          <w:sz w:val="20"/>
          <w:szCs w:val="20"/>
          <w:lang w:eastAsia="en-US"/>
        </w:rPr>
        <w:t xml:space="preserve"> employer may request the appropriate administering authority to obtain:</w:t>
      </w:r>
    </w:p>
    <w:p w14:paraId="4FF40ADA" w14:textId="77777777" w:rsidR="009317F3" w:rsidRDefault="009317F3" w:rsidP="00577D8A">
      <w:pPr>
        <w:pStyle w:val="ListParagraph"/>
        <w:numPr>
          <w:ilvl w:val="1"/>
          <w:numId w:val="42"/>
        </w:numPr>
        <w:spacing w:before="20" w:after="130" w:line="280" w:lineRule="atLeast"/>
        <w:jc w:val="both"/>
        <w:textAlignment w:val="auto"/>
        <w:rPr>
          <w:rFonts w:cs="Arial"/>
          <w:iCs/>
          <w:color w:val="4B4B4B"/>
          <w:sz w:val="20"/>
          <w:szCs w:val="20"/>
          <w:lang w:eastAsia="en-US"/>
        </w:rPr>
      </w:pPr>
      <w:r w:rsidRPr="00577D8A">
        <w:rPr>
          <w:rFonts w:cs="Arial"/>
          <w:iCs/>
          <w:color w:val="4B4B4B"/>
          <w:sz w:val="20"/>
          <w:szCs w:val="20"/>
          <w:lang w:eastAsia="en-US"/>
        </w:rPr>
        <w:t xml:space="preserve">An indicative actuarial valuation at a specific date of the liabilities of the </w:t>
      </w:r>
      <w:r>
        <w:rPr>
          <w:rFonts w:cs="Arial"/>
          <w:iCs/>
          <w:color w:val="4B4B4B"/>
          <w:sz w:val="20"/>
          <w:szCs w:val="20"/>
          <w:lang w:eastAsia="en-US"/>
        </w:rPr>
        <w:t>F</w:t>
      </w:r>
      <w:r w:rsidRPr="00577D8A">
        <w:rPr>
          <w:rFonts w:cs="Arial"/>
          <w:iCs/>
          <w:color w:val="4B4B4B"/>
          <w:sz w:val="20"/>
          <w:szCs w:val="20"/>
          <w:lang w:eastAsia="en-US"/>
        </w:rPr>
        <w:t>und in respect of benefits in respect of that person’s current and former employees, and</w:t>
      </w:r>
    </w:p>
    <w:p w14:paraId="60511AD2" w14:textId="77777777" w:rsidR="009317F3" w:rsidRDefault="009317F3" w:rsidP="00577D8A">
      <w:pPr>
        <w:pStyle w:val="ListParagraph"/>
        <w:numPr>
          <w:ilvl w:val="1"/>
          <w:numId w:val="42"/>
        </w:numPr>
        <w:spacing w:before="20" w:after="130" w:line="280" w:lineRule="atLeast"/>
        <w:jc w:val="both"/>
        <w:textAlignment w:val="auto"/>
        <w:rPr>
          <w:rFonts w:cs="Arial"/>
          <w:iCs/>
          <w:color w:val="4B4B4B"/>
          <w:sz w:val="20"/>
          <w:szCs w:val="20"/>
          <w:lang w:eastAsia="en-US"/>
        </w:rPr>
      </w:pPr>
      <w:r>
        <w:rPr>
          <w:rFonts w:cs="Arial"/>
          <w:iCs/>
          <w:color w:val="4B4B4B"/>
          <w:sz w:val="20"/>
          <w:szCs w:val="20"/>
          <w:lang w:eastAsia="en-US"/>
        </w:rPr>
        <w:t xml:space="preserve">A </w:t>
      </w:r>
      <w:r w:rsidRPr="00577D8A">
        <w:rPr>
          <w:rFonts w:cs="Arial"/>
          <w:iCs/>
          <w:color w:val="4B4B4B"/>
          <w:sz w:val="20"/>
          <w:szCs w:val="20"/>
          <w:lang w:eastAsia="en-US"/>
        </w:rPr>
        <w:t>revised rates and adjustments certificate showing the exit payment that would be due from such an employer, or exit credit payable to such an employer in respect of those benefits,</w:t>
      </w:r>
    </w:p>
    <w:p w14:paraId="227ECB06" w14:textId="77777777" w:rsidR="009317F3" w:rsidRPr="008B666D" w:rsidRDefault="009317F3" w:rsidP="00577D8A">
      <w:pPr>
        <w:spacing w:before="20" w:after="130" w:line="280" w:lineRule="atLeast"/>
        <w:ind w:left="567"/>
        <w:jc w:val="both"/>
        <w:textAlignment w:val="auto"/>
      </w:pPr>
      <w:r w:rsidRPr="00577D8A">
        <w:rPr>
          <w:rFonts w:cs="Arial"/>
          <w:iCs/>
          <w:color w:val="4B4B4B"/>
          <w:sz w:val="20"/>
          <w:szCs w:val="20"/>
          <w:lang w:eastAsia="en-US"/>
        </w:rPr>
        <w:t xml:space="preserve">and the indicative actuarial valuation must for a period of up to 90 days from the specific date be </w:t>
      </w:r>
      <w:proofErr w:type="gramStart"/>
      <w:r w:rsidRPr="00577D8A">
        <w:rPr>
          <w:rFonts w:cs="Arial"/>
          <w:iCs/>
          <w:color w:val="4B4B4B"/>
          <w:sz w:val="20"/>
          <w:szCs w:val="20"/>
          <w:lang w:eastAsia="en-US"/>
        </w:rPr>
        <w:t xml:space="preserve">used </w:t>
      </w:r>
      <w:r w:rsidRPr="008B666D">
        <w:rPr>
          <w:rFonts w:cs="Arial"/>
          <w:color w:val="4B4B4B"/>
          <w:sz w:val="20"/>
          <w:szCs w:val="20"/>
          <w:lang w:eastAsia="en-US"/>
        </w:rPr>
        <w:t xml:space="preserve"> </w:t>
      </w:r>
      <w:r w:rsidRPr="00577D8A">
        <w:rPr>
          <w:rFonts w:cs="Arial"/>
          <w:iCs/>
          <w:color w:val="4B4B4B"/>
          <w:sz w:val="20"/>
          <w:szCs w:val="20"/>
          <w:lang w:eastAsia="en-US"/>
        </w:rPr>
        <w:t>in</w:t>
      </w:r>
      <w:proofErr w:type="gramEnd"/>
      <w:r w:rsidRPr="00577D8A">
        <w:rPr>
          <w:rFonts w:cs="Arial"/>
          <w:iCs/>
          <w:color w:val="4B4B4B"/>
          <w:sz w:val="20"/>
          <w:szCs w:val="20"/>
          <w:lang w:eastAsia="en-US"/>
        </w:rPr>
        <w:t xml:space="preserve"> substitution for any valuation at the employer’s exit date carried out under paragraph (2). </w:t>
      </w:r>
    </w:p>
    <w:p w14:paraId="2C881115" w14:textId="77777777" w:rsidR="00F93097" w:rsidRPr="004D0678" w:rsidRDefault="00F93097" w:rsidP="00F9314B">
      <w:pPr>
        <w:pStyle w:val="BulletHymans"/>
        <w:numPr>
          <w:ilvl w:val="0"/>
          <w:numId w:val="38"/>
        </w:numPr>
      </w:pPr>
      <w:r w:rsidRPr="004D0678">
        <w:t>Regulation 61 (3) – the Administering Authority, at its discretion, may issue a suspension notice to suspend payment of an exit amount for up to three years, where it reasonably believes the exiting employer is to have one or more active members contributing to the Fund within the period specified in the suspension notice.</w:t>
      </w:r>
    </w:p>
    <w:p w14:paraId="7B040DAB" w14:textId="77777777" w:rsidR="00F93097" w:rsidRPr="004D0678" w:rsidRDefault="00F93097" w:rsidP="00F9314B">
      <w:pPr>
        <w:pStyle w:val="BulletHymans"/>
        <w:numPr>
          <w:ilvl w:val="0"/>
          <w:numId w:val="38"/>
        </w:numPr>
      </w:pPr>
      <w:r w:rsidRPr="004D0678">
        <w:t>Regulation 61 (4B-4G) – the Administering Authority may enter into a written deferred debt agreement, allowing the employer to have deferred employer status and to delay crystallisation of a cessation debt despite having no active members.</w:t>
      </w:r>
    </w:p>
    <w:p w14:paraId="658D5E6B" w14:textId="77777777" w:rsidR="00F93097" w:rsidRPr="00C64153" w:rsidRDefault="00F93097" w:rsidP="00F9314B">
      <w:pPr>
        <w:pStyle w:val="BulletHymans"/>
        <w:numPr>
          <w:ilvl w:val="0"/>
          <w:numId w:val="38"/>
        </w:numPr>
      </w:pPr>
      <w:r w:rsidRPr="004D0678">
        <w:t xml:space="preserve">Regulation 61 (5) – in instances where it is not possible to obtain additional contributions from the employer leaving the Fund or from the bond/indemnity or guarantor, the contribution rate(s) for the appropriate scheme employer or remaining Fund employers may be amended. </w:t>
      </w:r>
    </w:p>
    <w:p w14:paraId="7B6C0E1A" w14:textId="77777777" w:rsidR="00F93097" w:rsidRPr="00FC5326" w:rsidRDefault="00F93097" w:rsidP="00F9314B">
      <w:pPr>
        <w:pStyle w:val="BulletHymans"/>
        <w:numPr>
          <w:ilvl w:val="0"/>
          <w:numId w:val="38"/>
        </w:numPr>
      </w:pPr>
      <w:r w:rsidRPr="004D0678">
        <w:t xml:space="preserve">Regulation 61 (6) – where it is believed a scheme employer may cease at some point in the future, the </w:t>
      </w:r>
      <w:r w:rsidRPr="00FC5326">
        <w:t>Administering Authority may obtain a certificate from the Fund actuary revising the contributions for that employer, with a view to ensuring that the assets are expected to be broadly equivalent to the exit payment that will be due.</w:t>
      </w:r>
    </w:p>
    <w:p w14:paraId="7B65F679" w14:textId="77777777" w:rsidR="00F93097" w:rsidRPr="00FC5326" w:rsidRDefault="00F93097" w:rsidP="00F9314B">
      <w:pPr>
        <w:pStyle w:val="BulletHymans"/>
        <w:numPr>
          <w:ilvl w:val="0"/>
          <w:numId w:val="38"/>
        </w:numPr>
      </w:pPr>
      <w:r w:rsidRPr="00FC5326">
        <w:t xml:space="preserve">Regulation 61 (7) – following the payment of an exit payment to/from the Fund, no further payments are due to the Fund from the exiting employer. </w:t>
      </w:r>
    </w:p>
    <w:p w14:paraId="11AD8A0E" w14:textId="77777777" w:rsidR="00F93097" w:rsidRPr="003C57ED" w:rsidRDefault="00F93097" w:rsidP="00F9314B">
      <w:pPr>
        <w:pStyle w:val="BulletHymans"/>
        <w:numPr>
          <w:ilvl w:val="0"/>
          <w:numId w:val="38"/>
        </w:numPr>
      </w:pPr>
      <w:r w:rsidRPr="00FC5326">
        <w:t>Regulation 61B (1) –</w:t>
      </w:r>
      <w:r w:rsidRPr="003C57ED">
        <w:t xml:space="preserve"> the </w:t>
      </w:r>
      <w:r>
        <w:t>Administering Authority</w:t>
      </w:r>
      <w:r w:rsidRPr="003C57ED">
        <w:t xml:space="preserve"> may set out a policy on spreading exit payments.</w:t>
      </w:r>
    </w:p>
    <w:p w14:paraId="4995E592" w14:textId="77777777" w:rsidR="00F93097" w:rsidRDefault="00F93097" w:rsidP="00F93097">
      <w:pPr>
        <w:spacing w:after="200"/>
        <w:rPr>
          <w:color w:val="455560"/>
          <w:lang w:eastAsia="en-US"/>
        </w:rPr>
      </w:pPr>
      <w:r w:rsidRPr="00F93097">
        <w:rPr>
          <w:rStyle w:val="BulletHymansChar"/>
        </w:rPr>
        <w:t xml:space="preserve">In addition to the 2018 Regulations summarised above, </w:t>
      </w:r>
      <w:hyperlink r:id="rId26" w:anchor="r25A" w:history="1">
        <w:r w:rsidRPr="00F93097">
          <w:rPr>
            <w:rStyle w:val="BulletHymansChar"/>
          </w:rPr>
          <w:t>Regulation 25A</w:t>
        </w:r>
      </w:hyperlink>
      <w:r w:rsidRPr="00F93097">
        <w:rPr>
          <w:rStyle w:val="BulletHymansChar"/>
        </w:rPr>
        <w:t xml:space="preserve"> of the Local Government Pension Scheme (Transitional Provisions and Savings) (Scotland) Regulations 2014 (“the Transitional Regulations”) give the Fund the ability to levy a cessation debt on employers who have ceased participation in the Fund (under the previous regulations) but for whom a cessation valuation was not carried out at the time. This policy document describes how the Fund expects to deal with any such</w:t>
      </w:r>
      <w:r w:rsidRPr="000C04A0">
        <w:rPr>
          <w:color w:val="455560"/>
          <w:lang w:eastAsia="en-US"/>
        </w:rPr>
        <w:t xml:space="preserve"> </w:t>
      </w:r>
      <w:r w:rsidRPr="007254CB">
        <w:rPr>
          <w:color w:val="455560"/>
          <w:lang w:eastAsia="en-US"/>
        </w:rPr>
        <w:t>cases.</w:t>
      </w:r>
    </w:p>
    <w:p w14:paraId="1694EB82" w14:textId="77777777" w:rsidR="00F93097" w:rsidRDefault="00F93097" w:rsidP="00F93097">
      <w:pPr>
        <w:pStyle w:val="BodyTextGrey"/>
      </w:pPr>
      <w:r w:rsidRPr="00BC40B1">
        <w:t xml:space="preserve">These regulations relate to all employers in the </w:t>
      </w:r>
      <w:r>
        <w:t>Fund</w:t>
      </w:r>
      <w:r w:rsidRPr="00BC40B1">
        <w:t>.</w:t>
      </w:r>
    </w:p>
    <w:p w14:paraId="6A1B890E" w14:textId="1E95EF44" w:rsidR="00F93097" w:rsidRPr="005C24AE" w:rsidRDefault="00F93097" w:rsidP="00DB668C">
      <w:pPr>
        <w:pStyle w:val="Appendix2"/>
      </w:pPr>
      <w:r>
        <w:t xml:space="preserve">G4 </w:t>
      </w:r>
      <w:r w:rsidR="00317721">
        <w:tab/>
      </w:r>
      <w:r w:rsidRPr="005C24AE">
        <w:t xml:space="preserve">Statement of Principles </w:t>
      </w:r>
    </w:p>
    <w:p w14:paraId="3D65CC15" w14:textId="77777777" w:rsidR="00F93097" w:rsidRDefault="00F93097" w:rsidP="00F93097">
      <w:pPr>
        <w:pStyle w:val="BodyTextGrey"/>
      </w:pPr>
      <w:r>
        <w:t>This Statement of Principles covers the Fund’s approach to exiting employers.  Each case will be treated on its own merits but in general:</w:t>
      </w:r>
    </w:p>
    <w:p w14:paraId="05530DFC" w14:textId="77777777" w:rsidR="00F93097" w:rsidRPr="000A68EC" w:rsidRDefault="00F93097" w:rsidP="00F9314B">
      <w:pPr>
        <w:pStyle w:val="BodyTextGrey"/>
        <w:numPr>
          <w:ilvl w:val="0"/>
          <w:numId w:val="12"/>
        </w:numPr>
        <w:ind w:left="360"/>
      </w:pPr>
      <w:r>
        <w:t>I</w:t>
      </w:r>
      <w:r w:rsidRPr="000E00C8">
        <w:t xml:space="preserve">t is the </w:t>
      </w:r>
      <w:r>
        <w:t>Fund</w:t>
      </w:r>
      <w:r w:rsidRPr="000E00C8">
        <w:t xml:space="preserve">’s policy that the determination of any surplus or deficit on </w:t>
      </w:r>
      <w:r>
        <w:t>exit</w:t>
      </w:r>
      <w:r w:rsidRPr="000E00C8">
        <w:t xml:space="preserve"> should aim to minimise, as far as is practicable, the risk that the remaining, unconnected employers in the </w:t>
      </w:r>
      <w:r>
        <w:t>Fund</w:t>
      </w:r>
      <w:r w:rsidRPr="000E00C8">
        <w:t xml:space="preserve"> </w:t>
      </w:r>
      <w:proofErr w:type="gramStart"/>
      <w:r w:rsidRPr="000E00C8">
        <w:t>have to</w:t>
      </w:r>
      <w:proofErr w:type="gramEnd"/>
      <w:r w:rsidRPr="000E00C8">
        <w:t xml:space="preserve"> make contributions in future towards meeting the past service liabilities of current and former employees of employers leaving the </w:t>
      </w:r>
      <w:r>
        <w:t>Fund.</w:t>
      </w:r>
    </w:p>
    <w:p w14:paraId="5E4C338B" w14:textId="43126BE3" w:rsidR="00F93097" w:rsidRDefault="00F93097" w:rsidP="00F9314B">
      <w:pPr>
        <w:pStyle w:val="BodyTextGrey"/>
        <w:numPr>
          <w:ilvl w:val="0"/>
          <w:numId w:val="12"/>
        </w:numPr>
        <w:ind w:left="360"/>
      </w:pPr>
      <w:r>
        <w:t xml:space="preserve">The Fund’s preferred approach is to request the full </w:t>
      </w:r>
      <w:r w:rsidRPr="0046457E">
        <w:t xml:space="preserve">payment of any exit debt (an exit payment), which is calculated by the actuary on the appropriate basis (as per the FSS and Section 3.1 </w:t>
      </w:r>
      <w:r w:rsidR="00391752" w:rsidRPr="0064168B">
        <w:t>above</w:t>
      </w:r>
      <w:r w:rsidRPr="0046457E">
        <w:t>).</w:t>
      </w:r>
      <w:r>
        <w:t xml:space="preserve">  This would extinguish any liability to the Fund by the exiting employer.</w:t>
      </w:r>
    </w:p>
    <w:p w14:paraId="2C6241C6" w14:textId="77777777" w:rsidR="00F93097" w:rsidRDefault="00F93097" w:rsidP="00F9314B">
      <w:pPr>
        <w:pStyle w:val="BodyTextGrey"/>
        <w:numPr>
          <w:ilvl w:val="0"/>
          <w:numId w:val="12"/>
        </w:numPr>
        <w:ind w:left="360"/>
      </w:pPr>
      <w:r>
        <w:t>The Fund’s key objective is to protect the interests of the Fund, which is aligned to protecting the interests of the remaining employers. A secondary objective is to consider the circumstances of the exiting employer in determining arrangements for the recovery of any cessation debt.</w:t>
      </w:r>
    </w:p>
    <w:p w14:paraId="50822072" w14:textId="77777777" w:rsidR="00F93097" w:rsidRDefault="00F93097" w:rsidP="00F93097">
      <w:pPr>
        <w:spacing w:after="20"/>
        <w:rPr>
          <w:color w:val="455560"/>
          <w:lang w:eastAsia="en-US"/>
        </w:rPr>
      </w:pPr>
      <w:r>
        <w:br w:type="page"/>
      </w:r>
    </w:p>
    <w:p w14:paraId="2B239540" w14:textId="629E20E2" w:rsidR="00F93097" w:rsidRDefault="00F93097" w:rsidP="00DB668C">
      <w:pPr>
        <w:pStyle w:val="Appendix2"/>
      </w:pPr>
      <w:bookmarkStart w:id="121" w:name="_Policy"/>
      <w:bookmarkEnd w:id="121"/>
      <w:r>
        <w:t>G5</w:t>
      </w:r>
      <w:r w:rsidR="00317721">
        <w:tab/>
      </w:r>
      <w:r w:rsidRPr="005C24AE">
        <w:t>Polic</w:t>
      </w:r>
      <w:r>
        <w:t>ies</w:t>
      </w:r>
    </w:p>
    <w:p w14:paraId="31D72533" w14:textId="77777777" w:rsidR="00753EC4" w:rsidRPr="00753EC4" w:rsidRDefault="00753EC4" w:rsidP="00753EC4">
      <w:pPr>
        <w:pStyle w:val="BodyTextGrey"/>
      </w:pPr>
      <w:r w:rsidRPr="00753EC4">
        <w:t>On considering an exit from the Fund, an employer may request the Fund to instruct the actuary to carry out an indicative valuation to determine whether there is a surplus or deficit at the proposed date of exit. A period of at least 12 months must have elapsed since any such previous request from the employer.</w:t>
      </w:r>
    </w:p>
    <w:p w14:paraId="0F2177F1" w14:textId="77777777" w:rsidR="00F93097" w:rsidRDefault="00F93097" w:rsidP="00F93097">
      <w:pPr>
        <w:pStyle w:val="BodyTextGrey"/>
      </w:pPr>
      <w:r w:rsidRPr="00C329F9">
        <w:t xml:space="preserve">On cessation, the </w:t>
      </w:r>
      <w:r>
        <w:t>Administering Authority</w:t>
      </w:r>
      <w:r w:rsidRPr="00C329F9">
        <w:t xml:space="preserve"> will instruct the </w:t>
      </w:r>
      <w:r>
        <w:t>Fund</w:t>
      </w:r>
      <w:r w:rsidRPr="00C329F9">
        <w:t xml:space="preserve"> actuary </w:t>
      </w:r>
      <w:r w:rsidRPr="0046457E">
        <w:t>to carry out a cessation valuation to determine whether there is any deficit or surplus.</w:t>
      </w:r>
    </w:p>
    <w:p w14:paraId="12031B2A" w14:textId="6B780B4C" w:rsidR="00F93097" w:rsidRDefault="00F93097" w:rsidP="00F93097">
      <w:pPr>
        <w:pStyle w:val="BodyTextGrey"/>
      </w:pPr>
      <w:r w:rsidRPr="00881D83">
        <w:t xml:space="preserve">Where there is a deficit, payment of this amount in full would normally be sought from the </w:t>
      </w:r>
      <w:r>
        <w:t>exiting employer</w:t>
      </w:r>
      <w:r w:rsidRPr="00881D83">
        <w:t xml:space="preserve">.   The </w:t>
      </w:r>
      <w:r>
        <w:t>Fund</w:t>
      </w:r>
      <w:r w:rsidRPr="00881D83">
        <w:t xml:space="preserve">’s normal policy is that this </w:t>
      </w:r>
      <w:r w:rsidR="00753EC4">
        <w:t xml:space="preserve">deficit, known as the </w:t>
      </w:r>
      <w:r w:rsidRPr="00881D83">
        <w:t xml:space="preserve">cessation </w:t>
      </w:r>
      <w:proofErr w:type="gramStart"/>
      <w:r w:rsidRPr="00881D83">
        <w:t>debt</w:t>
      </w:r>
      <w:proofErr w:type="gramEnd"/>
      <w:r w:rsidRPr="00881D83">
        <w:t xml:space="preserve"> is paid in full in a single lump sum within 28 days of the employer being notified</w:t>
      </w:r>
      <w:r w:rsidR="00753EC4">
        <w:t xml:space="preserve"> or within 28 days of exit from the Fund </w:t>
      </w:r>
      <w:proofErr w:type="gramStart"/>
      <w:r w:rsidR="00753EC4">
        <w:t>in the event that</w:t>
      </w:r>
      <w:proofErr w:type="gramEnd"/>
      <w:r w:rsidR="00753EC4">
        <w:t xml:space="preserve"> </w:t>
      </w:r>
      <w:r w:rsidR="00B10E10">
        <w:t>an indicative valuation has been carried out</w:t>
      </w:r>
    </w:p>
    <w:p w14:paraId="1C35E018" w14:textId="598B4CA3" w:rsidR="00F93097" w:rsidRDefault="00F93097" w:rsidP="00F93097">
      <w:pPr>
        <w:pStyle w:val="BodyTextGrey"/>
      </w:pPr>
      <w:r w:rsidRPr="00D0680B">
        <w:t xml:space="preserve">However, the </w:t>
      </w:r>
      <w:r>
        <w:t>Fund</w:t>
      </w:r>
      <w:r w:rsidRPr="00D0680B">
        <w:t xml:space="preserve"> will consider written requests from employers to spread the payment over an agreed period, in the exceptional circumstance where payment of the debt in a single immediate lump sum could be shown by the employer to be materially detrimental to the employer’s financial situation (see </w:t>
      </w:r>
      <w:hyperlink w:anchor="_Deferred_spreading_arrangement" w:history="1">
        <w:r w:rsidRPr="00D0680B">
          <w:rPr>
            <w:rStyle w:val="Hyperlink"/>
          </w:rPr>
          <w:t>3.2 Repayment flexibility on exit payments</w:t>
        </w:r>
      </w:hyperlink>
      <w:r w:rsidRPr="00D0680B">
        <w:t xml:space="preserve"> </w:t>
      </w:r>
      <w:r w:rsidR="006E0919">
        <w:t>above</w:t>
      </w:r>
      <w:r w:rsidRPr="00D0680B">
        <w:t>).</w:t>
      </w:r>
    </w:p>
    <w:p w14:paraId="59E2B748" w14:textId="77565998" w:rsidR="00F93097" w:rsidRDefault="00F93097" w:rsidP="00F93097">
      <w:pPr>
        <w:pStyle w:val="BodyTextGrey"/>
      </w:pPr>
      <w:r w:rsidRPr="00D0680B">
        <w:t xml:space="preserve">In circumstances where there is a surplus, the </w:t>
      </w:r>
      <w:r>
        <w:t>Administering Authority</w:t>
      </w:r>
      <w:r w:rsidRPr="00D0680B">
        <w:t xml:space="preserve"> will determine the amount of exit credit to be paid to the exiting employer</w:t>
      </w:r>
      <w:r>
        <w:t xml:space="preserve"> in line with the Regulations</w:t>
      </w:r>
      <w:r w:rsidR="00B10E10">
        <w:t xml:space="preserve"> and in line with the “exit credit” section of this appendix</w:t>
      </w:r>
      <w:r w:rsidRPr="00DD1025">
        <w:t xml:space="preserve">  </w:t>
      </w:r>
    </w:p>
    <w:p w14:paraId="699E38B2" w14:textId="77777777" w:rsidR="00F93097" w:rsidRDefault="00F93097" w:rsidP="00F93097">
      <w:pPr>
        <w:pStyle w:val="BodyTextGrey"/>
      </w:pPr>
      <w:r>
        <w:t>If there is any doubt about the applicable LGPS benefit structure at the date of exit, the Fund’s actuary may include an estimate of the possible impact of any resulting benefit changes when calculating an employer’s pension liabilities to determine the level of any exit payment or credit.</w:t>
      </w:r>
    </w:p>
    <w:p w14:paraId="75F1E1F2" w14:textId="46B80724" w:rsidR="00F93097" w:rsidRDefault="00F93097" w:rsidP="00317721">
      <w:pPr>
        <w:pStyle w:val="Heading4"/>
      </w:pPr>
      <w:r>
        <w:t xml:space="preserve">G5.1 Approach to cessation </w:t>
      </w:r>
      <w:r w:rsidR="00B10E10">
        <w:t xml:space="preserve">valuations </w:t>
      </w:r>
    </w:p>
    <w:p w14:paraId="5B760696" w14:textId="77777777" w:rsidR="00F93097" w:rsidRPr="005C24AE" w:rsidRDefault="00F93097" w:rsidP="00F93097">
      <w:pPr>
        <w:pStyle w:val="BodyTextGrey"/>
      </w:pPr>
      <w:r w:rsidRPr="005C24AE">
        <w:t xml:space="preserve">Cessation valuations are carried out on a case-by-case basis at the sole discretion of the </w:t>
      </w:r>
      <w:r>
        <w:t>Fund</w:t>
      </w:r>
      <w:r w:rsidRPr="005C24AE">
        <w:t xml:space="preserve"> depending on the exiting employer’s circumstances.  However, in general the following broad principles and assumptions may apply, as summarised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1"/>
        <w:gridCol w:w="3520"/>
        <w:gridCol w:w="3520"/>
      </w:tblGrid>
      <w:tr w:rsidR="00F93097" w:rsidRPr="009E6647" w14:paraId="2CBBB421" w14:textId="77777777" w:rsidTr="001E0CF2">
        <w:trPr>
          <w:trHeight w:val="458"/>
          <w:tblHeader/>
        </w:trPr>
        <w:tc>
          <w:tcPr>
            <w:tcW w:w="1398" w:type="pct"/>
            <w:vAlign w:val="center"/>
          </w:tcPr>
          <w:p w14:paraId="59E78421" w14:textId="77777777" w:rsidR="00F93097" w:rsidRPr="005C24AE" w:rsidRDefault="00F93097">
            <w:pPr>
              <w:pStyle w:val="BodyTextGrey"/>
              <w:spacing w:after="20"/>
              <w:rPr>
                <w:b/>
                <w:color w:val="000000" w:themeColor="text1"/>
              </w:rPr>
            </w:pPr>
            <w:r w:rsidRPr="005C24AE">
              <w:rPr>
                <w:b/>
                <w:color w:val="000000" w:themeColor="text1"/>
              </w:rPr>
              <w:t>Type of employer</w:t>
            </w:r>
          </w:p>
        </w:tc>
        <w:tc>
          <w:tcPr>
            <w:tcW w:w="1801" w:type="pct"/>
            <w:vAlign w:val="center"/>
          </w:tcPr>
          <w:p w14:paraId="21C4C573" w14:textId="77777777" w:rsidR="00F93097" w:rsidRPr="005C24AE" w:rsidRDefault="00F93097">
            <w:pPr>
              <w:pStyle w:val="BodyTextGrey"/>
              <w:spacing w:after="20"/>
              <w:rPr>
                <w:b/>
                <w:color w:val="000000" w:themeColor="text1"/>
              </w:rPr>
            </w:pPr>
            <w:r w:rsidRPr="005C24AE">
              <w:rPr>
                <w:b/>
                <w:color w:val="000000" w:themeColor="text1"/>
              </w:rPr>
              <w:t xml:space="preserve">Cessation exit basis </w:t>
            </w:r>
          </w:p>
        </w:tc>
        <w:tc>
          <w:tcPr>
            <w:tcW w:w="1801" w:type="pct"/>
          </w:tcPr>
          <w:p w14:paraId="14D78FFE" w14:textId="77777777" w:rsidR="00F93097" w:rsidRPr="005C24AE" w:rsidRDefault="00F93097">
            <w:pPr>
              <w:pStyle w:val="BodyTextGrey"/>
              <w:spacing w:after="20"/>
              <w:rPr>
                <w:b/>
                <w:color w:val="000000" w:themeColor="text1"/>
              </w:rPr>
            </w:pPr>
            <w:r w:rsidRPr="005C24AE">
              <w:rPr>
                <w:b/>
                <w:color w:val="000000" w:themeColor="text1"/>
              </w:rPr>
              <w:t xml:space="preserve">Responsible parties for unpaid or future deficit </w:t>
            </w:r>
            <w:r>
              <w:rPr>
                <w:b/>
                <w:color w:val="000000" w:themeColor="text1"/>
              </w:rPr>
              <w:t>emerging</w:t>
            </w:r>
          </w:p>
        </w:tc>
      </w:tr>
      <w:tr w:rsidR="00F93097" w:rsidRPr="009E6647" w14:paraId="7C1E4F88" w14:textId="77777777" w:rsidTr="001E0CF2">
        <w:tc>
          <w:tcPr>
            <w:tcW w:w="1398" w:type="pct"/>
          </w:tcPr>
          <w:p w14:paraId="37FA19F3" w14:textId="77777777" w:rsidR="00F93097" w:rsidRPr="009E6647" w:rsidRDefault="00F93097">
            <w:pPr>
              <w:pStyle w:val="BodyTextGrey"/>
            </w:pPr>
            <w:r w:rsidRPr="009E6647">
              <w:t>Local Authorities</w:t>
            </w:r>
            <w:r>
              <w:t>, Police, Fire</w:t>
            </w:r>
          </w:p>
        </w:tc>
        <w:tc>
          <w:tcPr>
            <w:tcW w:w="1801" w:type="pct"/>
          </w:tcPr>
          <w:p w14:paraId="10C24F74" w14:textId="77777777" w:rsidR="00F93097" w:rsidRPr="009E6647" w:rsidRDefault="00F93097">
            <w:pPr>
              <w:pStyle w:val="BodyTextGrey"/>
            </w:pPr>
            <w:r>
              <w:t>Risk based cessation approach</w:t>
            </w:r>
            <w:r w:rsidRPr="00954D8E">
              <w:rPr>
                <w:vertAlign w:val="superscript"/>
              </w:rPr>
              <w:t>1</w:t>
            </w:r>
          </w:p>
        </w:tc>
        <w:tc>
          <w:tcPr>
            <w:tcW w:w="1801" w:type="pct"/>
          </w:tcPr>
          <w:p w14:paraId="096ED642" w14:textId="77777777" w:rsidR="00F93097" w:rsidRPr="009E6647" w:rsidRDefault="00F93097">
            <w:pPr>
              <w:pStyle w:val="BodyTextGrey"/>
            </w:pPr>
            <w:r>
              <w:t xml:space="preserve">Shared between other Fund employers </w:t>
            </w:r>
          </w:p>
        </w:tc>
      </w:tr>
      <w:tr w:rsidR="00F93097" w:rsidRPr="009E6647" w14:paraId="549DB224" w14:textId="77777777" w:rsidTr="001E0CF2">
        <w:tc>
          <w:tcPr>
            <w:tcW w:w="1398" w:type="pct"/>
          </w:tcPr>
          <w:p w14:paraId="31DDFF08" w14:textId="77777777" w:rsidR="00F93097" w:rsidRPr="009E6647" w:rsidRDefault="00F93097">
            <w:pPr>
              <w:pStyle w:val="BodyTextGrey"/>
            </w:pPr>
            <w:r>
              <w:t>Designating employers</w:t>
            </w:r>
          </w:p>
        </w:tc>
        <w:tc>
          <w:tcPr>
            <w:tcW w:w="1801" w:type="pct"/>
          </w:tcPr>
          <w:p w14:paraId="2C8D9BAA" w14:textId="77777777" w:rsidR="00F93097" w:rsidRDefault="00F93097">
            <w:pPr>
              <w:pStyle w:val="BodyTextGrey"/>
            </w:pPr>
            <w:r>
              <w:t>Risk-based cessation approach</w:t>
            </w:r>
          </w:p>
        </w:tc>
        <w:tc>
          <w:tcPr>
            <w:tcW w:w="1801" w:type="pct"/>
          </w:tcPr>
          <w:p w14:paraId="4F99A6B8" w14:textId="77777777" w:rsidR="00F93097" w:rsidRDefault="00F93097">
            <w:pPr>
              <w:pStyle w:val="BodyTextGrey"/>
            </w:pPr>
            <w:r>
              <w:t>Shared between other Fund employers (if no guarantor exists)</w:t>
            </w:r>
          </w:p>
        </w:tc>
      </w:tr>
      <w:tr w:rsidR="00F93097" w:rsidRPr="009E6647" w14:paraId="4CF63881" w14:textId="77777777" w:rsidTr="001E0CF2">
        <w:tc>
          <w:tcPr>
            <w:tcW w:w="1398" w:type="pct"/>
          </w:tcPr>
          <w:p w14:paraId="40C7EBFD" w14:textId="77777777" w:rsidR="00F93097" w:rsidRPr="009E6647" w:rsidRDefault="00F93097">
            <w:pPr>
              <w:pStyle w:val="BodyTextGrey"/>
            </w:pPr>
            <w:r>
              <w:t xml:space="preserve">Colleges </w:t>
            </w:r>
          </w:p>
        </w:tc>
        <w:tc>
          <w:tcPr>
            <w:tcW w:w="1801" w:type="pct"/>
          </w:tcPr>
          <w:p w14:paraId="50B52BBD" w14:textId="77777777" w:rsidR="00F93097" w:rsidRPr="009E6647" w:rsidRDefault="00F93097">
            <w:pPr>
              <w:pStyle w:val="BodyTextGrey"/>
              <w:rPr>
                <w:highlight w:val="yellow"/>
              </w:rPr>
            </w:pPr>
            <w:r>
              <w:t>Risk based cessation approach</w:t>
            </w:r>
            <w:r w:rsidRPr="00954D8E">
              <w:rPr>
                <w:vertAlign w:val="superscript"/>
              </w:rPr>
              <w:t>1</w:t>
            </w:r>
          </w:p>
        </w:tc>
        <w:tc>
          <w:tcPr>
            <w:tcW w:w="1801" w:type="pct"/>
          </w:tcPr>
          <w:p w14:paraId="515BE1E7" w14:textId="77777777" w:rsidR="00F93097" w:rsidRPr="009E6647" w:rsidRDefault="00F93097">
            <w:pPr>
              <w:pStyle w:val="BodyTextGrey"/>
              <w:rPr>
                <w:highlight w:val="yellow"/>
              </w:rPr>
            </w:pPr>
            <w:r>
              <w:t>Shared between other Fund employers</w:t>
            </w:r>
          </w:p>
        </w:tc>
      </w:tr>
      <w:tr w:rsidR="00F93097" w:rsidRPr="009E6647" w14:paraId="79397F87" w14:textId="77777777" w:rsidTr="001E0CF2">
        <w:tc>
          <w:tcPr>
            <w:tcW w:w="1398" w:type="pct"/>
          </w:tcPr>
          <w:p w14:paraId="1CE281AF" w14:textId="77777777" w:rsidR="00F93097" w:rsidRPr="009E6647" w:rsidRDefault="00F93097">
            <w:pPr>
              <w:pStyle w:val="BodyTextGrey"/>
            </w:pPr>
            <w:r w:rsidRPr="009E6647">
              <w:t>Admission bodies (</w:t>
            </w:r>
            <w:r>
              <w:t>“</w:t>
            </w:r>
            <w:r w:rsidRPr="009E6647">
              <w:t>TABs</w:t>
            </w:r>
            <w:r>
              <w:t>” – typically contractors)</w:t>
            </w:r>
          </w:p>
        </w:tc>
        <w:tc>
          <w:tcPr>
            <w:tcW w:w="1801" w:type="pct"/>
          </w:tcPr>
          <w:p w14:paraId="3895E1BA" w14:textId="77777777" w:rsidR="00F93097" w:rsidRPr="005C24AE" w:rsidRDefault="00F93097">
            <w:pPr>
              <w:pStyle w:val="BodyTextGrey"/>
            </w:pPr>
            <w:r w:rsidRPr="004F52C0">
              <w:t>Ongoing basis</w:t>
            </w:r>
            <w:r w:rsidRPr="004F52C0">
              <w:rPr>
                <w:vertAlign w:val="superscript"/>
              </w:rPr>
              <w:t>2</w:t>
            </w:r>
          </w:p>
        </w:tc>
        <w:tc>
          <w:tcPr>
            <w:tcW w:w="1801" w:type="pct"/>
          </w:tcPr>
          <w:p w14:paraId="69017D86" w14:textId="77777777" w:rsidR="00F93097" w:rsidRPr="005C24AE" w:rsidRDefault="00F93097">
            <w:pPr>
              <w:pStyle w:val="BodyTextGrey"/>
            </w:pPr>
            <w:r w:rsidRPr="005C24AE">
              <w:t xml:space="preserve">Letting authority (where applicable), otherwise shared between other </w:t>
            </w:r>
            <w:r>
              <w:t>Fund</w:t>
            </w:r>
            <w:r w:rsidRPr="005C24AE">
              <w:t xml:space="preserve"> employers</w:t>
            </w:r>
          </w:p>
        </w:tc>
      </w:tr>
      <w:tr w:rsidR="00F93097" w14:paraId="28FC8453" w14:textId="77777777" w:rsidTr="001E0CF2">
        <w:tc>
          <w:tcPr>
            <w:tcW w:w="1398" w:type="pct"/>
          </w:tcPr>
          <w:p w14:paraId="2DDE55EE" w14:textId="77777777" w:rsidR="00F93097" w:rsidRPr="009E6647" w:rsidRDefault="00F93097">
            <w:pPr>
              <w:pStyle w:val="BodyTextGrey"/>
            </w:pPr>
            <w:r w:rsidRPr="009E6647">
              <w:t>Admission bodies (</w:t>
            </w:r>
            <w:r>
              <w:t>“C</w:t>
            </w:r>
            <w:r w:rsidRPr="009E6647">
              <w:t>ABs</w:t>
            </w:r>
            <w:r>
              <w:t>” – typically any ABs other than contractors)</w:t>
            </w:r>
          </w:p>
        </w:tc>
        <w:tc>
          <w:tcPr>
            <w:tcW w:w="1801" w:type="pct"/>
          </w:tcPr>
          <w:p w14:paraId="459356EA" w14:textId="77777777" w:rsidR="00F93097" w:rsidRPr="005C24AE" w:rsidRDefault="00F93097">
            <w:pPr>
              <w:pStyle w:val="BodyTextGrey"/>
            </w:pPr>
            <w:r>
              <w:t>Risk based cessation approach</w:t>
            </w:r>
          </w:p>
        </w:tc>
        <w:tc>
          <w:tcPr>
            <w:tcW w:w="1801" w:type="pct"/>
          </w:tcPr>
          <w:p w14:paraId="407A257A" w14:textId="77777777" w:rsidR="00F93097" w:rsidRDefault="00F93097">
            <w:pPr>
              <w:pStyle w:val="BodyTextGrey"/>
              <w:rPr>
                <w:highlight w:val="yellow"/>
              </w:rPr>
            </w:pPr>
            <w:r>
              <w:t>Shared between other Fund employers (if no guarantor exists)</w:t>
            </w:r>
          </w:p>
        </w:tc>
      </w:tr>
    </w:tbl>
    <w:p w14:paraId="7A6D372B" w14:textId="77777777" w:rsidR="00F93097" w:rsidRPr="00DC5949" w:rsidRDefault="00F93097" w:rsidP="00F93097">
      <w:pPr>
        <w:pStyle w:val="BodyTextGrey"/>
      </w:pPr>
      <w:r w:rsidRPr="00954D8E">
        <w:rPr>
          <w:sz w:val="18"/>
          <w:szCs w:val="18"/>
          <w:vertAlign w:val="superscript"/>
        </w:rPr>
        <w:t>1</w:t>
      </w:r>
      <w:r w:rsidRPr="00950CF9">
        <w:rPr>
          <w:sz w:val="18"/>
          <w:szCs w:val="18"/>
        </w:rPr>
        <w:t>Cessation is assumed not to be generally possible, as Scheduled Bodies are legally obliged to participate in the LGPS.  In the rare event of cessation occurring (</w:t>
      </w:r>
      <w:r>
        <w:rPr>
          <w:sz w:val="18"/>
          <w:szCs w:val="18"/>
        </w:rPr>
        <w:t xml:space="preserve">e.g. </w:t>
      </w:r>
      <w:r w:rsidRPr="00950CF9">
        <w:rPr>
          <w:sz w:val="18"/>
          <w:szCs w:val="18"/>
        </w:rPr>
        <w:t>machinery of Government changes), the</w:t>
      </w:r>
      <w:r>
        <w:rPr>
          <w:sz w:val="18"/>
          <w:szCs w:val="18"/>
        </w:rPr>
        <w:t>se</w:t>
      </w:r>
      <w:r w:rsidRPr="00950CF9">
        <w:rPr>
          <w:sz w:val="18"/>
          <w:szCs w:val="18"/>
        </w:rPr>
        <w:t xml:space="preserve"> cessation principles </w:t>
      </w:r>
      <w:r>
        <w:rPr>
          <w:sz w:val="18"/>
          <w:szCs w:val="18"/>
        </w:rPr>
        <w:t xml:space="preserve">would apply. </w:t>
      </w:r>
    </w:p>
    <w:p w14:paraId="4AEA76B7" w14:textId="77777777" w:rsidR="00F93097" w:rsidRDefault="00F93097" w:rsidP="00F93097">
      <w:pPr>
        <w:pStyle w:val="BodyTextGrey"/>
        <w:rPr>
          <w:sz w:val="18"/>
          <w:szCs w:val="18"/>
        </w:rPr>
      </w:pPr>
      <w:r w:rsidRPr="00954D8E">
        <w:rPr>
          <w:vertAlign w:val="superscript"/>
        </w:rPr>
        <w:t>2</w:t>
      </w:r>
      <w:r>
        <w:rPr>
          <w:sz w:val="18"/>
          <w:szCs w:val="18"/>
        </w:rPr>
        <w:t>W</w:t>
      </w:r>
      <w:r w:rsidRPr="00954D8E">
        <w:rPr>
          <w:sz w:val="18"/>
          <w:szCs w:val="18"/>
        </w:rPr>
        <w:t xml:space="preserve">here a TAB has taken, in the view of the </w:t>
      </w:r>
      <w:r>
        <w:rPr>
          <w:sz w:val="18"/>
          <w:szCs w:val="18"/>
        </w:rPr>
        <w:t>Administering Authority</w:t>
      </w:r>
      <w:r w:rsidRPr="00954D8E">
        <w:rPr>
          <w:sz w:val="18"/>
          <w:szCs w:val="18"/>
        </w:rPr>
        <w:t>, action that has been deliberately designed to bring about a cessation event (</w:t>
      </w:r>
      <w:r>
        <w:rPr>
          <w:sz w:val="18"/>
          <w:szCs w:val="18"/>
        </w:rPr>
        <w:t xml:space="preserve">e.g. </w:t>
      </w:r>
      <w:r w:rsidRPr="00954D8E">
        <w:rPr>
          <w:sz w:val="18"/>
          <w:szCs w:val="18"/>
        </w:rPr>
        <w:t xml:space="preserve">stopping future accrual of LGPS benefits), then the cessation valuation will be carried out on </w:t>
      </w:r>
      <w:r>
        <w:rPr>
          <w:sz w:val="18"/>
          <w:szCs w:val="18"/>
        </w:rPr>
        <w:t>the risk-based cessation approach</w:t>
      </w:r>
      <w:r w:rsidRPr="00954D8E">
        <w:rPr>
          <w:sz w:val="18"/>
          <w:szCs w:val="18"/>
        </w:rPr>
        <w:t>.</w:t>
      </w:r>
    </w:p>
    <w:p w14:paraId="1FD91B55" w14:textId="77777777" w:rsidR="00F93097" w:rsidRPr="00FC5326" w:rsidRDefault="00F93097" w:rsidP="00317721">
      <w:pPr>
        <w:pStyle w:val="Appendix2"/>
        <w:ind w:firstLine="0"/>
      </w:pPr>
      <w:r w:rsidRPr="00FC5326">
        <w:rPr>
          <w:rStyle w:val="normaltextrun"/>
        </w:rPr>
        <w:t>Risk-based cessation approach</w:t>
      </w:r>
      <w:r w:rsidRPr="00FC5326">
        <w:rPr>
          <w:rStyle w:val="eop"/>
        </w:rPr>
        <w:t> </w:t>
      </w:r>
    </w:p>
    <w:p w14:paraId="66FA3EFA" w14:textId="77777777" w:rsidR="00F93097" w:rsidRPr="00C64153" w:rsidRDefault="00F93097" w:rsidP="00F93097">
      <w:pPr>
        <w:pStyle w:val="paragraph"/>
        <w:spacing w:before="20" w:beforeAutospacing="0" w:after="200" w:afterAutospacing="0" w:line="280" w:lineRule="atLeast"/>
        <w:textAlignment w:val="baseline"/>
        <w:rPr>
          <w:rFonts w:ascii="Arial" w:hAnsi="Arial" w:cs="Arial"/>
          <w:iCs/>
          <w:color w:val="455560"/>
          <w:sz w:val="20"/>
          <w:szCs w:val="20"/>
          <w:lang w:eastAsia="en-US"/>
        </w:rPr>
      </w:pPr>
      <w:r w:rsidRPr="00C64153">
        <w:rPr>
          <w:rFonts w:ascii="Arial" w:hAnsi="Arial" w:cs="Arial"/>
          <w:iCs/>
          <w:color w:val="455560"/>
          <w:sz w:val="20"/>
          <w:szCs w:val="20"/>
          <w:lang w:eastAsia="en-US"/>
        </w:rPr>
        <w:t xml:space="preserve">The Fund uses a risk-based approach to </w:t>
      </w:r>
      <w:proofErr w:type="gramStart"/>
      <w:r w:rsidRPr="00C64153">
        <w:rPr>
          <w:rFonts w:ascii="Arial" w:hAnsi="Arial" w:cs="Arial"/>
          <w:iCs/>
          <w:color w:val="455560"/>
          <w:sz w:val="20"/>
          <w:szCs w:val="20"/>
          <w:lang w:eastAsia="en-US"/>
        </w:rPr>
        <w:t>set</w:t>
      </w:r>
      <w:proofErr w:type="gramEnd"/>
      <w:r w:rsidRPr="00C64153">
        <w:rPr>
          <w:rFonts w:ascii="Arial" w:hAnsi="Arial" w:cs="Arial"/>
          <w:iCs/>
          <w:color w:val="455560"/>
          <w:sz w:val="20"/>
          <w:szCs w:val="20"/>
          <w:lang w:eastAsia="en-US"/>
        </w:rPr>
        <w:t xml:space="preserve"> employer funding strategies, including within cessation calculations. In particular, the likelihood of the Fund’s assets achieving </w:t>
      </w:r>
      <w:proofErr w:type="gramStart"/>
      <w:r w:rsidRPr="00C64153">
        <w:rPr>
          <w:rFonts w:ascii="Arial" w:hAnsi="Arial" w:cs="Arial"/>
          <w:iCs/>
          <w:color w:val="455560"/>
          <w:sz w:val="20"/>
          <w:szCs w:val="20"/>
          <w:lang w:eastAsia="en-US"/>
        </w:rPr>
        <w:t>particular future</w:t>
      </w:r>
      <w:proofErr w:type="gramEnd"/>
      <w:r w:rsidRPr="00C64153">
        <w:rPr>
          <w:rFonts w:ascii="Arial" w:hAnsi="Arial" w:cs="Arial"/>
          <w:iCs/>
          <w:color w:val="455560"/>
          <w:sz w:val="20"/>
          <w:szCs w:val="20"/>
          <w:lang w:eastAsia="en-US"/>
        </w:rPr>
        <w:t xml:space="preserve"> investment returns is analysed.</w:t>
      </w:r>
    </w:p>
    <w:p w14:paraId="294EF861" w14:textId="77777777" w:rsidR="00F93097" w:rsidRPr="00C64153" w:rsidRDefault="00F93097" w:rsidP="00F93097">
      <w:pPr>
        <w:pStyle w:val="paragraph"/>
        <w:spacing w:before="20" w:beforeAutospacing="0" w:after="200" w:afterAutospacing="0" w:line="280" w:lineRule="atLeast"/>
        <w:textAlignment w:val="baseline"/>
        <w:rPr>
          <w:rFonts w:ascii="Arial" w:hAnsi="Arial" w:cs="Arial"/>
          <w:iCs/>
          <w:color w:val="455560"/>
          <w:sz w:val="20"/>
          <w:szCs w:val="20"/>
          <w:lang w:eastAsia="en-US"/>
        </w:rPr>
      </w:pPr>
      <w:r w:rsidRPr="00C64153">
        <w:rPr>
          <w:rFonts w:ascii="Arial" w:hAnsi="Arial" w:cs="Arial"/>
          <w:iCs/>
          <w:color w:val="455560"/>
          <w:sz w:val="20"/>
          <w:szCs w:val="20"/>
          <w:lang w:eastAsia="en-US"/>
        </w:rPr>
        <w:t xml:space="preserve">Where appropriate, the Fund will use this approach to set an upper and lower amount (or “corridor”) </w:t>
      </w:r>
      <w:proofErr w:type="gramStart"/>
      <w:r w:rsidRPr="00C64153">
        <w:rPr>
          <w:rFonts w:ascii="Arial" w:hAnsi="Arial" w:cs="Arial"/>
          <w:iCs/>
          <w:color w:val="455560"/>
          <w:sz w:val="20"/>
          <w:szCs w:val="20"/>
          <w:lang w:eastAsia="en-US"/>
        </w:rPr>
        <w:t>in order to</w:t>
      </w:r>
      <w:proofErr w:type="gramEnd"/>
      <w:r w:rsidRPr="00C64153">
        <w:rPr>
          <w:rFonts w:ascii="Arial" w:hAnsi="Arial" w:cs="Arial"/>
          <w:iCs/>
          <w:color w:val="455560"/>
          <w:sz w:val="20"/>
          <w:szCs w:val="20"/>
          <w:lang w:eastAsia="en-US"/>
        </w:rPr>
        <w:t xml:space="preserve"> consider the amount of assets a ceasing employer must leave behind to pay for its members’ benefits. </w:t>
      </w:r>
    </w:p>
    <w:p w14:paraId="559B68DE" w14:textId="77777777" w:rsidR="00F93097" w:rsidRPr="00C64153" w:rsidRDefault="00F93097"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r w:rsidRPr="00C64153">
        <w:rPr>
          <w:rFonts w:ascii="Arial" w:hAnsi="Arial" w:cs="Arial"/>
          <w:color w:val="455560"/>
          <w:sz w:val="20"/>
          <w:szCs w:val="20"/>
          <w:lang w:eastAsia="en-US"/>
        </w:rPr>
        <w:t>Under this approach, an employer is deemed to have a deficit if its assets are below the lower amount and a surplus if its assets are above the higher amount (</w:t>
      </w:r>
      <w:proofErr w:type="spellStart"/>
      <w:r w:rsidRPr="00C64153">
        <w:rPr>
          <w:rFonts w:ascii="Arial" w:hAnsi="Arial" w:cs="Arial"/>
          <w:color w:val="455560"/>
          <w:sz w:val="20"/>
          <w:szCs w:val="20"/>
          <w:lang w:eastAsia="en-US"/>
        </w:rPr>
        <w:t>ie</w:t>
      </w:r>
      <w:proofErr w:type="spellEnd"/>
      <w:r w:rsidRPr="00C64153">
        <w:rPr>
          <w:rFonts w:ascii="Arial" w:hAnsi="Arial" w:cs="Arial"/>
          <w:color w:val="455560"/>
          <w:sz w:val="20"/>
          <w:szCs w:val="20"/>
          <w:lang w:eastAsia="en-US"/>
        </w:rPr>
        <w:t xml:space="preserve"> there will be no deficit or surplus if a ceasing employer’s assets fall within the “corridor”). </w:t>
      </w:r>
    </w:p>
    <w:p w14:paraId="4612FF5D" w14:textId="77777777" w:rsidR="00F93097" w:rsidRPr="00C64153" w:rsidRDefault="00F93097" w:rsidP="00F93097">
      <w:pPr>
        <w:pStyle w:val="paragraph"/>
        <w:spacing w:before="20" w:beforeAutospacing="0" w:after="200" w:afterAutospacing="0" w:line="280" w:lineRule="atLeast"/>
        <w:textAlignment w:val="baseline"/>
        <w:rPr>
          <w:rFonts w:ascii="Arial" w:hAnsi="Arial" w:cs="Arial"/>
          <w:iCs/>
          <w:color w:val="455560"/>
          <w:sz w:val="20"/>
          <w:szCs w:val="20"/>
          <w:lang w:eastAsia="en-US"/>
        </w:rPr>
      </w:pPr>
      <w:r w:rsidRPr="00C64153">
        <w:rPr>
          <w:rFonts w:ascii="Arial" w:hAnsi="Arial" w:cs="Arial"/>
          <w:iCs/>
          <w:color w:val="455560"/>
          <w:sz w:val="20"/>
          <w:szCs w:val="20"/>
          <w:lang w:eastAsia="en-US"/>
        </w:rPr>
        <w:t>The upper bound of the corridor is defined as the assets required to meet liabilities, where the liabilities have been calculated using an investment return assumption that is expected to be achieved in 95% of outcomes over the next 18 years (based on the Fund’s investment strategy at the calculation date).</w:t>
      </w:r>
    </w:p>
    <w:p w14:paraId="61DB7025" w14:textId="77777777" w:rsidR="00F93097" w:rsidRDefault="00F93097" w:rsidP="00F93097">
      <w:pPr>
        <w:pStyle w:val="paragraph"/>
        <w:spacing w:before="20" w:beforeAutospacing="0" w:after="200" w:afterAutospacing="0" w:line="280" w:lineRule="atLeast"/>
        <w:textAlignment w:val="baseline"/>
        <w:rPr>
          <w:rFonts w:ascii="Arial" w:hAnsi="Arial" w:cs="Arial"/>
          <w:iCs/>
          <w:color w:val="455560"/>
          <w:sz w:val="20"/>
          <w:szCs w:val="20"/>
          <w:lang w:eastAsia="en-US"/>
        </w:rPr>
      </w:pPr>
      <w:r w:rsidRPr="00C64153">
        <w:rPr>
          <w:rFonts w:ascii="Arial" w:hAnsi="Arial" w:cs="Arial"/>
          <w:iCs/>
          <w:color w:val="455560"/>
          <w:sz w:val="20"/>
          <w:szCs w:val="20"/>
          <w:lang w:eastAsia="en-US"/>
        </w:rPr>
        <w:t>The lower bound of the corridor is defined as the assets required to meet liabilities, where the liabilities have been calculated using an investment return assumption that is expected to be achieved in 85% of outcomes over the next 18 years (based on the Fund’s investment strategy at the calculation date).</w:t>
      </w:r>
    </w:p>
    <w:p w14:paraId="3A6A21B8" w14:textId="77777777" w:rsidR="00F93097" w:rsidRDefault="00F93097" w:rsidP="00F93097">
      <w:pPr>
        <w:pStyle w:val="paragraph"/>
        <w:spacing w:before="20" w:beforeAutospacing="0" w:after="200" w:afterAutospacing="0" w:line="280" w:lineRule="atLeast"/>
        <w:textAlignment w:val="baseline"/>
        <w:rPr>
          <w:rFonts w:ascii="Arial" w:hAnsi="Arial" w:cs="Arial"/>
          <w:iCs/>
          <w:color w:val="455560"/>
          <w:sz w:val="20"/>
          <w:szCs w:val="20"/>
          <w:lang w:eastAsia="en-US"/>
        </w:rPr>
      </w:pPr>
      <w:r>
        <w:rPr>
          <w:rFonts w:ascii="Arial" w:hAnsi="Arial" w:cs="Arial"/>
          <w:iCs/>
          <w:color w:val="455560"/>
          <w:sz w:val="20"/>
          <w:szCs w:val="20"/>
          <w:lang w:eastAsia="en-US"/>
        </w:rPr>
        <w:t xml:space="preserve">When calculating the liabilities, all other financial and demographic assumptions are as set out in the Funding Strategy Statement </w:t>
      </w:r>
      <w:proofErr w:type="gramStart"/>
      <w:r>
        <w:rPr>
          <w:rFonts w:ascii="Arial" w:hAnsi="Arial" w:cs="Arial"/>
          <w:iCs/>
          <w:color w:val="455560"/>
          <w:sz w:val="20"/>
          <w:szCs w:val="20"/>
          <w:lang w:eastAsia="en-US"/>
        </w:rPr>
        <w:t>with the exception of</w:t>
      </w:r>
      <w:proofErr w:type="gramEnd"/>
      <w:r>
        <w:rPr>
          <w:rFonts w:ascii="Arial" w:hAnsi="Arial" w:cs="Arial"/>
          <w:iCs/>
          <w:color w:val="455560"/>
          <w:sz w:val="20"/>
          <w:szCs w:val="20"/>
          <w:lang w:eastAsia="en-US"/>
        </w:rPr>
        <w:t xml:space="preserve"> future longevity improvements, where a long-term improvement of 1.75% pa is assumed.</w:t>
      </w:r>
    </w:p>
    <w:p w14:paraId="149C675D" w14:textId="77777777" w:rsidR="00F93097" w:rsidRPr="00C64153" w:rsidRDefault="00F93097" w:rsidP="00F93097">
      <w:pPr>
        <w:pStyle w:val="paragraph"/>
        <w:spacing w:before="20" w:beforeAutospacing="0" w:after="200" w:afterAutospacing="0" w:line="280" w:lineRule="atLeast"/>
        <w:textAlignment w:val="baseline"/>
        <w:rPr>
          <w:rFonts w:ascii="Arial" w:hAnsi="Arial" w:cs="Arial"/>
          <w:iCs/>
          <w:color w:val="455560"/>
          <w:sz w:val="20"/>
          <w:szCs w:val="20"/>
          <w:lang w:eastAsia="en-US"/>
        </w:rPr>
      </w:pPr>
      <w:r>
        <w:rPr>
          <w:rFonts w:ascii="Arial" w:hAnsi="Arial" w:cs="Arial"/>
          <w:iCs/>
          <w:color w:val="455560"/>
          <w:sz w:val="20"/>
          <w:szCs w:val="20"/>
          <w:lang w:eastAsia="en-US"/>
        </w:rPr>
        <w:t>The Administering Authority reserve the right to adopt alternative assumptions if felt necessary to protect the interests of the Fund.</w:t>
      </w:r>
    </w:p>
    <w:p w14:paraId="4F361441" w14:textId="3E6ECE3B" w:rsidR="00F93097" w:rsidRPr="00C64153" w:rsidRDefault="00F93097" w:rsidP="00F93097">
      <w:pPr>
        <w:pStyle w:val="paragraph"/>
        <w:spacing w:before="20" w:beforeAutospacing="0" w:after="200" w:afterAutospacing="0" w:line="280" w:lineRule="atLeast"/>
        <w:textAlignment w:val="baseline"/>
        <w:rPr>
          <w:rFonts w:ascii="Arial" w:hAnsi="Arial" w:cs="Arial"/>
          <w:iCs/>
          <w:color w:val="455560"/>
          <w:sz w:val="20"/>
          <w:szCs w:val="20"/>
          <w:lang w:eastAsia="en-US"/>
        </w:rPr>
      </w:pPr>
      <w:r w:rsidRPr="00C64153">
        <w:rPr>
          <w:rFonts w:ascii="Arial" w:hAnsi="Arial" w:cs="Arial"/>
          <w:iCs/>
          <w:color w:val="455560"/>
          <w:sz w:val="20"/>
          <w:szCs w:val="20"/>
          <w:lang w:eastAsia="en-US"/>
        </w:rPr>
        <w:t>The picture below illustrates how the corridor operates in practice.</w:t>
      </w:r>
    </w:p>
    <w:p w14:paraId="68B3E7AA" w14:textId="540C64AB" w:rsidR="00F93097" w:rsidRPr="00C64153" w:rsidRDefault="00A0203A" w:rsidP="00F93097">
      <w:pPr>
        <w:pStyle w:val="paragraph"/>
        <w:spacing w:before="20" w:beforeAutospacing="0" w:after="200" w:afterAutospacing="0" w:line="280" w:lineRule="atLeast"/>
        <w:textAlignment w:val="baseline"/>
        <w:rPr>
          <w:rFonts w:ascii="Arial" w:hAnsi="Arial" w:cs="Arial"/>
          <w:iCs/>
          <w:color w:val="455560"/>
          <w:sz w:val="20"/>
          <w:szCs w:val="20"/>
          <w:lang w:eastAsia="en-US"/>
        </w:rPr>
      </w:pPr>
      <w:r>
        <w:rPr>
          <w:noProof/>
        </w:rPr>
        <mc:AlternateContent>
          <mc:Choice Requires="wps">
            <w:drawing>
              <wp:anchor distT="0" distB="0" distL="114300" distR="114300" simplePos="0" relativeHeight="251658247" behindDoc="0" locked="0" layoutInCell="1" allowOverlap="1" wp14:anchorId="0CE45290" wp14:editId="2FE7070B">
                <wp:simplePos x="0" y="0"/>
                <wp:positionH relativeFrom="column">
                  <wp:posOffset>4499610</wp:posOffset>
                </wp:positionH>
                <wp:positionV relativeFrom="paragraph">
                  <wp:posOffset>192405</wp:posOffset>
                </wp:positionV>
                <wp:extent cx="676275" cy="2276475"/>
                <wp:effectExtent l="0" t="0" r="28575" b="28575"/>
                <wp:wrapNone/>
                <wp:docPr id="1161607209" name="Rectangle 16"/>
                <wp:cNvGraphicFramePr/>
                <a:graphic xmlns:a="http://schemas.openxmlformats.org/drawingml/2006/main">
                  <a:graphicData uri="http://schemas.microsoft.com/office/word/2010/wordprocessingShape">
                    <wps:wsp>
                      <wps:cNvSpPr/>
                      <wps:spPr>
                        <a:xfrm>
                          <a:off x="0" y="0"/>
                          <a:ext cx="676275" cy="22764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C248EB" w14:textId="5F9A62CC" w:rsidR="007842AB" w:rsidRDefault="007842AB" w:rsidP="00B803B2">
                            <w:pPr>
                              <w:jc w:val="center"/>
                            </w:pPr>
                            <w:r>
                              <w:t>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45290" id="Rectangle 16" o:spid="_x0000_s1026" style="position:absolute;margin-left:354.3pt;margin-top:15.15pt;width:53.25pt;height:179.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" fillcolor="#4472c4 [3204]" strokecolor="#09101d [484]" strokeweight="1pt">
                <v:textbox>
                  <w:txbxContent>
                    <w:p w14:paraId="2AC248EB" w14:textId="5F9A62CC" w:rsidR="007842AB" w:rsidRDefault="007842AB" w:rsidP="00B803B2">
                      <w:pPr>
                        <w:jc w:val="center"/>
                      </w:pPr>
                      <w:r>
                        <w:t>Assets</w:t>
                      </w:r>
                    </w:p>
                  </w:txbxContent>
                </v:textbox>
              </v:rect>
            </w:pict>
          </mc:Fallback>
        </mc:AlternateContent>
      </w:r>
      <w:r w:rsidR="00F24544">
        <w:rPr>
          <w:noProof/>
        </w:rPr>
        <mc:AlternateContent>
          <mc:Choice Requires="wps">
            <w:drawing>
              <wp:anchor distT="0" distB="0" distL="114300" distR="114300" simplePos="0" relativeHeight="251658248" behindDoc="0" locked="0" layoutInCell="1" allowOverlap="1" wp14:anchorId="192BF257" wp14:editId="572F1AF9">
                <wp:simplePos x="0" y="0"/>
                <wp:positionH relativeFrom="column">
                  <wp:posOffset>5185410</wp:posOffset>
                </wp:positionH>
                <wp:positionV relativeFrom="paragraph">
                  <wp:posOffset>211455</wp:posOffset>
                </wp:positionV>
                <wp:extent cx="1476375" cy="323850"/>
                <wp:effectExtent l="0" t="0" r="28575" b="19050"/>
                <wp:wrapNone/>
                <wp:docPr id="1496920143" name="Rectangle 17"/>
                <wp:cNvGraphicFramePr/>
                <a:graphic xmlns:a="http://schemas.openxmlformats.org/drawingml/2006/main">
                  <a:graphicData uri="http://schemas.microsoft.com/office/word/2010/wordprocessingShape">
                    <wps:wsp>
                      <wps:cNvSpPr/>
                      <wps:spPr>
                        <a:xfrm>
                          <a:off x="0" y="0"/>
                          <a:ext cx="1476375" cy="32385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DADBDD" w14:textId="5075F9AD" w:rsidR="007842AB" w:rsidRDefault="00F24544" w:rsidP="00F24544">
                            <w:pPr>
                              <w:jc w:val="center"/>
                            </w:pPr>
                            <w:r>
                              <w:t>Exit Credit</w:t>
                            </w:r>
                          </w:p>
                          <w:p w14:paraId="157A9B23" w14:textId="77777777" w:rsidR="00B6170D" w:rsidRDefault="00B6170D" w:rsidP="00B80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BF257" id="Rectangle 17" o:spid="_x0000_s1027" style="position:absolute;margin-left:408.3pt;margin-top:16.65pt;width:116.25pt;height: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" fillcolor="#ed7d31 [3205]" strokecolor="#09101d [484]" strokeweight="1pt">
                <v:textbox>
                  <w:txbxContent>
                    <w:p w14:paraId="33DADBDD" w14:textId="5075F9AD" w:rsidR="007842AB" w:rsidRDefault="00F24544" w:rsidP="00F24544">
                      <w:pPr>
                        <w:jc w:val="center"/>
                      </w:pPr>
                      <w:r>
                        <w:t>Exit Credit</w:t>
                      </w:r>
                    </w:p>
                    <w:p w14:paraId="157A9B23" w14:textId="77777777" w:rsidR="00B6170D" w:rsidRDefault="00B6170D" w:rsidP="00B803B2">
                      <w:pPr>
                        <w:jc w:val="center"/>
                      </w:pPr>
                    </w:p>
                  </w:txbxContent>
                </v:textbox>
              </v:rect>
            </w:pict>
          </mc:Fallback>
        </mc:AlternateContent>
      </w:r>
    </w:p>
    <w:p w14:paraId="1F230B52" w14:textId="6385AFD0" w:rsidR="00DC56A2" w:rsidRDefault="000A7A81"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r>
        <w:rPr>
          <w:rFonts w:ascii="Arial" w:hAnsi="Arial" w:cs="Arial"/>
          <w:noProof/>
          <w:color w:val="455560"/>
          <w:sz w:val="20"/>
          <w:szCs w:val="20"/>
          <w:lang w:eastAsia="en-US"/>
        </w:rPr>
        <mc:AlternateContent>
          <mc:Choice Requires="wps">
            <w:drawing>
              <wp:anchor distT="0" distB="0" distL="114300" distR="114300" simplePos="0" relativeHeight="251658241" behindDoc="0" locked="0" layoutInCell="1" allowOverlap="1" wp14:anchorId="7418B548" wp14:editId="1D64113F">
                <wp:simplePos x="0" y="0"/>
                <wp:positionH relativeFrom="column">
                  <wp:posOffset>32385</wp:posOffset>
                </wp:positionH>
                <wp:positionV relativeFrom="paragraph">
                  <wp:posOffset>208280</wp:posOffset>
                </wp:positionV>
                <wp:extent cx="5943600" cy="9525"/>
                <wp:effectExtent l="0" t="0" r="19050" b="28575"/>
                <wp:wrapNone/>
                <wp:docPr id="1115205522" name="Straight Connector 7"/>
                <wp:cNvGraphicFramePr/>
                <a:graphic xmlns:a="http://schemas.openxmlformats.org/drawingml/2006/main">
                  <a:graphicData uri="http://schemas.microsoft.com/office/word/2010/wordprocessingShape">
                    <wps:wsp>
                      <wps:cNvCnPr/>
                      <wps:spPr>
                        <a:xfrm flipV="1">
                          <a:off x="0" y="0"/>
                          <a:ext cx="5943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79019E" id="Straight Connector 7"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2.55pt,16.4pt" to="470.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" strokecolor="black [3200]" strokeweight=".5pt">
                <v:stroke joinstyle="miter"/>
              </v:line>
            </w:pict>
          </mc:Fallback>
        </mc:AlternateContent>
      </w:r>
      <w:r w:rsidR="002A18AA">
        <w:rPr>
          <w:rFonts w:ascii="Arial" w:hAnsi="Arial" w:cs="Arial"/>
          <w:color w:val="455560"/>
          <w:sz w:val="20"/>
          <w:szCs w:val="20"/>
          <w:lang w:eastAsia="en-US"/>
        </w:rPr>
        <w:t>Upper Band (95%)</w:t>
      </w:r>
    </w:p>
    <w:p w14:paraId="68F27AD6" w14:textId="14D24BDE" w:rsidR="002A18AA" w:rsidRDefault="002A18AA"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p>
    <w:p w14:paraId="535C994C" w14:textId="5AC0C0AA" w:rsidR="002A18AA" w:rsidRDefault="00DD6123"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r>
        <w:rPr>
          <w:rFonts w:ascii="Arial" w:hAnsi="Arial" w:cs="Arial"/>
          <w:noProof/>
          <w:color w:val="455560"/>
          <w:sz w:val="20"/>
          <w:szCs w:val="20"/>
          <w:lang w:eastAsia="en-US"/>
        </w:rPr>
        <mc:AlternateContent>
          <mc:Choice Requires="wps">
            <w:drawing>
              <wp:anchor distT="0" distB="0" distL="114300" distR="114300" simplePos="0" relativeHeight="251658244" behindDoc="0" locked="0" layoutInCell="1" allowOverlap="1" wp14:anchorId="4DAE4605" wp14:editId="7DDDC927">
                <wp:simplePos x="0" y="0"/>
                <wp:positionH relativeFrom="column">
                  <wp:posOffset>1451610</wp:posOffset>
                </wp:positionH>
                <wp:positionV relativeFrom="paragraph">
                  <wp:posOffset>97155</wp:posOffset>
                </wp:positionV>
                <wp:extent cx="723900" cy="1438275"/>
                <wp:effectExtent l="0" t="0" r="19050" b="28575"/>
                <wp:wrapNone/>
                <wp:docPr id="817239658" name="Rectangle 12"/>
                <wp:cNvGraphicFramePr/>
                <a:graphic xmlns:a="http://schemas.openxmlformats.org/drawingml/2006/main">
                  <a:graphicData uri="http://schemas.microsoft.com/office/word/2010/wordprocessingShape">
                    <wps:wsp>
                      <wps:cNvSpPr/>
                      <wps:spPr>
                        <a:xfrm>
                          <a:off x="0" y="0"/>
                          <a:ext cx="723900" cy="14382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6B3516" w14:textId="71EDEAFE" w:rsidR="00C11287" w:rsidRDefault="00C11287" w:rsidP="00B803B2">
                            <w:pPr>
                              <w:jc w:val="center"/>
                            </w:pPr>
                            <w:r>
                              <w:t>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AE4605" id="Rectangle 12" o:spid="_x0000_s1028" style="position:absolute;margin-left:114.3pt;margin-top:7.65pt;width:57pt;height:113.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" fillcolor="#4472c4 [3204]" strokecolor="#09101d [484]" strokeweight="1pt">
                <v:textbox>
                  <w:txbxContent>
                    <w:p w14:paraId="7F6B3516" w14:textId="71EDEAFE" w:rsidR="00C11287" w:rsidRDefault="00C11287" w:rsidP="00B803B2">
                      <w:pPr>
                        <w:jc w:val="center"/>
                      </w:pPr>
                      <w:r>
                        <w:t>Assets</w:t>
                      </w:r>
                    </w:p>
                  </w:txbxContent>
                </v:textbox>
              </v:rect>
            </w:pict>
          </mc:Fallback>
        </mc:AlternateContent>
      </w:r>
      <w:r w:rsidR="002A18AA">
        <w:rPr>
          <w:rFonts w:ascii="Arial" w:hAnsi="Arial" w:cs="Arial"/>
          <w:color w:val="455560"/>
          <w:sz w:val="20"/>
          <w:szCs w:val="20"/>
          <w:lang w:eastAsia="en-US"/>
        </w:rPr>
        <w:t>Lower Band (85%)</w:t>
      </w:r>
    </w:p>
    <w:p w14:paraId="24232FE8" w14:textId="4D1DED40" w:rsidR="00DC56A2" w:rsidRDefault="00C11287"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r>
        <w:rPr>
          <w:rFonts w:ascii="Arial" w:hAnsi="Arial" w:cs="Arial"/>
          <w:noProof/>
          <w:color w:val="455560"/>
          <w:sz w:val="20"/>
          <w:szCs w:val="20"/>
          <w:lang w:eastAsia="en-US"/>
        </w:rPr>
        <mc:AlternateContent>
          <mc:Choice Requires="wps">
            <w:drawing>
              <wp:anchor distT="0" distB="0" distL="114300" distR="114300" simplePos="0" relativeHeight="251658246" behindDoc="0" locked="0" layoutInCell="1" allowOverlap="1" wp14:anchorId="65C4AAB2" wp14:editId="7CD3D928">
                <wp:simplePos x="0" y="0"/>
                <wp:positionH relativeFrom="column">
                  <wp:posOffset>2994660</wp:posOffset>
                </wp:positionH>
                <wp:positionV relativeFrom="paragraph">
                  <wp:posOffset>55880</wp:posOffset>
                </wp:positionV>
                <wp:extent cx="1171575" cy="390525"/>
                <wp:effectExtent l="0" t="0" r="28575" b="28575"/>
                <wp:wrapNone/>
                <wp:docPr id="864327402" name="Rectangle 15"/>
                <wp:cNvGraphicFramePr/>
                <a:graphic xmlns:a="http://schemas.openxmlformats.org/drawingml/2006/main">
                  <a:graphicData uri="http://schemas.microsoft.com/office/word/2010/wordprocessingShape">
                    <wps:wsp>
                      <wps:cNvSpPr/>
                      <wps:spPr>
                        <a:xfrm>
                          <a:off x="0" y="0"/>
                          <a:ext cx="1171575" cy="390525"/>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204D7394" w14:textId="727E4D87" w:rsidR="007842AB" w:rsidRDefault="007842AB" w:rsidP="00B803B2">
                            <w:pPr>
                              <w:jc w:val="center"/>
                            </w:pPr>
                            <w:r>
                              <w:t>Exit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4AAB2" id="Rectangle 15" o:spid="_x0000_s1029" style="position:absolute;margin-left:235.8pt;margin-top:4.4pt;width:92.25pt;height:3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" fillcolor="#ee853d [3029]" strokecolor="#ed7d31 [3205]" strokeweight=".5pt">
                <v:fill color2="#ec7a2d [3173]" rotate="t" colors="0 #f18c55;.5 #f67b28;1 #e56b17" focus="100%" type="gradient">
                  <o:fill v:ext="view" type="gradientUnscaled"/>
                </v:fill>
                <v:textbox>
                  <w:txbxContent>
                    <w:p w14:paraId="204D7394" w14:textId="727E4D87" w:rsidR="007842AB" w:rsidRDefault="007842AB" w:rsidP="00B803B2">
                      <w:pPr>
                        <w:jc w:val="center"/>
                      </w:pPr>
                      <w:r>
                        <w:t>Exit Payment</w:t>
                      </w:r>
                    </w:p>
                  </w:txbxContent>
                </v:textbox>
              </v:rect>
            </w:pict>
          </mc:Fallback>
        </mc:AlternateContent>
      </w:r>
      <w:r w:rsidR="002A18AA">
        <w:rPr>
          <w:rFonts w:ascii="Arial" w:hAnsi="Arial" w:cs="Arial"/>
          <w:noProof/>
          <w:color w:val="455560"/>
          <w:sz w:val="20"/>
          <w:szCs w:val="20"/>
          <w:lang w:eastAsia="en-US"/>
        </w:rPr>
        <mc:AlternateContent>
          <mc:Choice Requires="wps">
            <w:drawing>
              <wp:anchor distT="0" distB="0" distL="114300" distR="114300" simplePos="0" relativeHeight="251658242" behindDoc="0" locked="0" layoutInCell="1" allowOverlap="1" wp14:anchorId="34A35977" wp14:editId="0E54051A">
                <wp:simplePos x="0" y="0"/>
                <wp:positionH relativeFrom="column">
                  <wp:posOffset>-15240</wp:posOffset>
                </wp:positionH>
                <wp:positionV relativeFrom="paragraph">
                  <wp:posOffset>36830</wp:posOffset>
                </wp:positionV>
                <wp:extent cx="6076950" cy="28575"/>
                <wp:effectExtent l="0" t="0" r="19050" b="28575"/>
                <wp:wrapNone/>
                <wp:docPr id="1423954009" name="Straight Connector 10"/>
                <wp:cNvGraphicFramePr/>
                <a:graphic xmlns:a="http://schemas.openxmlformats.org/drawingml/2006/main">
                  <a:graphicData uri="http://schemas.microsoft.com/office/word/2010/wordprocessingShape">
                    <wps:wsp>
                      <wps:cNvCnPr/>
                      <wps:spPr>
                        <a:xfrm>
                          <a:off x="0" y="0"/>
                          <a:ext cx="60769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DF4AE"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2pt,2.9pt" to="477.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" strokecolor="black [3213]" strokeweight=".5pt">
                <v:stroke joinstyle="miter"/>
              </v:line>
            </w:pict>
          </mc:Fallback>
        </mc:AlternateContent>
      </w:r>
      <w:r w:rsidR="000A7A81">
        <w:rPr>
          <w:rFonts w:ascii="Arial" w:hAnsi="Arial" w:cs="Arial"/>
          <w:noProof/>
          <w:color w:val="455560"/>
          <w:sz w:val="20"/>
          <w:szCs w:val="20"/>
          <w:lang w:eastAsia="en-US"/>
        </w:rPr>
        <mc:AlternateContent>
          <mc:Choice Requires="wpi">
            <w:drawing>
              <wp:anchor distT="0" distB="0" distL="114300" distR="114300" simplePos="0" relativeHeight="251658240" behindDoc="0" locked="0" layoutInCell="1" allowOverlap="1" wp14:anchorId="36804611" wp14:editId="0BF5202A">
                <wp:simplePos x="0" y="0"/>
                <wp:positionH relativeFrom="column">
                  <wp:posOffset>-139110</wp:posOffset>
                </wp:positionH>
                <wp:positionV relativeFrom="paragraph">
                  <wp:posOffset>217760</wp:posOffset>
                </wp:positionV>
                <wp:extent cx="360" cy="360"/>
                <wp:effectExtent l="38100" t="38100" r="38100" b="38100"/>
                <wp:wrapNone/>
                <wp:docPr id="1633064136" name="Ink 4"/>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type w14:anchorId="5A8A15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1.45pt;margin-top:16.65pt;width:1.05pt;height:1.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">
                <v:imagedata r:id="rId28" o:title=""/>
              </v:shape>
            </w:pict>
          </mc:Fallback>
        </mc:AlternateContent>
      </w:r>
    </w:p>
    <w:p w14:paraId="4C557FCA" w14:textId="7CF4C2BF" w:rsidR="002A18AA" w:rsidRDefault="00C11287"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r>
        <w:rPr>
          <w:rFonts w:ascii="Arial" w:hAnsi="Arial" w:cs="Arial"/>
          <w:noProof/>
          <w:color w:val="455560"/>
          <w:sz w:val="20"/>
          <w:szCs w:val="20"/>
          <w:lang w:eastAsia="en-US"/>
        </w:rPr>
        <mc:AlternateContent>
          <mc:Choice Requires="wps">
            <w:drawing>
              <wp:anchor distT="0" distB="0" distL="114300" distR="114300" simplePos="0" relativeHeight="251658245" behindDoc="0" locked="0" layoutInCell="1" allowOverlap="1" wp14:anchorId="398C2ACA" wp14:editId="5A47E0DD">
                <wp:simplePos x="0" y="0"/>
                <wp:positionH relativeFrom="column">
                  <wp:posOffset>2556510</wp:posOffset>
                </wp:positionH>
                <wp:positionV relativeFrom="paragraph">
                  <wp:posOffset>141605</wp:posOffset>
                </wp:positionV>
                <wp:extent cx="714375" cy="790575"/>
                <wp:effectExtent l="0" t="0" r="28575" b="28575"/>
                <wp:wrapNone/>
                <wp:docPr id="2028529407" name="Rectangle 13"/>
                <wp:cNvGraphicFramePr/>
                <a:graphic xmlns:a="http://schemas.openxmlformats.org/drawingml/2006/main">
                  <a:graphicData uri="http://schemas.microsoft.com/office/word/2010/wordprocessingShape">
                    <wps:wsp>
                      <wps:cNvSpPr/>
                      <wps:spPr>
                        <a:xfrm>
                          <a:off x="0" y="0"/>
                          <a:ext cx="714375" cy="790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32491F" w14:textId="4F7A52AD" w:rsidR="00C11287" w:rsidRDefault="00C11287" w:rsidP="00B803B2">
                            <w:pPr>
                              <w:jc w:val="center"/>
                            </w:pPr>
                            <w:r>
                              <w:t>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8C2ACA" id="Rectangle 13" o:spid="_x0000_s1030" style="position:absolute;margin-left:201.3pt;margin-top:11.15pt;width:56.25pt;height:6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" fillcolor="#4472c4 [3204]" strokecolor="#09101d [484]" strokeweight="1pt">
                <v:textbox>
                  <w:txbxContent>
                    <w:p w14:paraId="0332491F" w14:textId="4F7A52AD" w:rsidR="00C11287" w:rsidRDefault="00C11287" w:rsidP="00B803B2">
                      <w:pPr>
                        <w:jc w:val="center"/>
                      </w:pPr>
                      <w:r>
                        <w:t>Assets</w:t>
                      </w:r>
                    </w:p>
                  </w:txbxContent>
                </v:textbox>
              </v:rect>
            </w:pict>
          </mc:Fallback>
        </mc:AlternateContent>
      </w:r>
    </w:p>
    <w:p w14:paraId="54F964D7" w14:textId="22434BE8" w:rsidR="002A18AA" w:rsidRDefault="002A18AA"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p>
    <w:p w14:paraId="1CE6A328" w14:textId="77777777" w:rsidR="002A18AA" w:rsidRDefault="002A18AA"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p>
    <w:p w14:paraId="3723976F" w14:textId="6385AFD0" w:rsidR="002A18AA" w:rsidRDefault="002A18AA"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r>
        <w:rPr>
          <w:rFonts w:ascii="Arial" w:hAnsi="Arial" w:cs="Arial"/>
          <w:noProof/>
          <w:color w:val="455560"/>
          <w:sz w:val="20"/>
          <w:szCs w:val="20"/>
          <w:lang w:eastAsia="en-US"/>
        </w:rPr>
        <mc:AlternateContent>
          <mc:Choice Requires="wps">
            <w:drawing>
              <wp:anchor distT="0" distB="0" distL="114300" distR="114300" simplePos="0" relativeHeight="251658243" behindDoc="0" locked="0" layoutInCell="1" allowOverlap="1" wp14:anchorId="187E1E3D" wp14:editId="2E0EED7C">
                <wp:simplePos x="0" y="0"/>
                <wp:positionH relativeFrom="column">
                  <wp:posOffset>3809</wp:posOffset>
                </wp:positionH>
                <wp:positionV relativeFrom="paragraph">
                  <wp:posOffset>17780</wp:posOffset>
                </wp:positionV>
                <wp:extent cx="5972175" cy="28575"/>
                <wp:effectExtent l="0" t="0" r="28575" b="28575"/>
                <wp:wrapNone/>
                <wp:docPr id="336191230" name="Straight Connector 11"/>
                <wp:cNvGraphicFramePr/>
                <a:graphic xmlns:a="http://schemas.openxmlformats.org/drawingml/2006/main">
                  <a:graphicData uri="http://schemas.microsoft.com/office/word/2010/wordprocessingShape">
                    <wps:wsp>
                      <wps:cNvCnPr/>
                      <wps:spPr>
                        <a:xfrm>
                          <a:off x="0" y="0"/>
                          <a:ext cx="59721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44C8E" id="Straight Connector 1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pt,1.4pt" to="470.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" strokecolor="black [3200]" strokeweight=".5pt">
                <v:stroke joinstyle="miter"/>
              </v:line>
            </w:pict>
          </mc:Fallback>
        </mc:AlternateContent>
      </w:r>
    </w:p>
    <w:p w14:paraId="08F3E105" w14:textId="77777777" w:rsidR="002A18AA" w:rsidRDefault="002A18AA"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p>
    <w:p w14:paraId="58CB4DBB" w14:textId="38D2C59D" w:rsidR="00F93097" w:rsidRDefault="00F93097" w:rsidP="00F93097">
      <w:pPr>
        <w:pStyle w:val="paragraph"/>
        <w:spacing w:before="20" w:beforeAutospacing="0" w:after="200" w:afterAutospacing="0" w:line="280" w:lineRule="atLeast"/>
        <w:textAlignment w:val="baseline"/>
        <w:rPr>
          <w:rFonts w:ascii="Arial" w:hAnsi="Arial" w:cs="Arial"/>
          <w:color w:val="455560"/>
          <w:sz w:val="20"/>
          <w:szCs w:val="20"/>
          <w:lang w:eastAsia="en-US"/>
        </w:rPr>
      </w:pPr>
      <w:r w:rsidRPr="00C64153">
        <w:rPr>
          <w:rFonts w:ascii="Arial" w:hAnsi="Arial" w:cs="Arial"/>
          <w:color w:val="455560"/>
          <w:sz w:val="20"/>
          <w:szCs w:val="20"/>
          <w:lang w:eastAsia="en-US"/>
        </w:rPr>
        <w:t>The Fund reserves the right to review the definition of the corridor as part of any review of this policy.</w:t>
      </w:r>
    </w:p>
    <w:p w14:paraId="014EE71E" w14:textId="77777777" w:rsidR="000F36CD" w:rsidRPr="00577D8A" w:rsidRDefault="000F36CD" w:rsidP="000F36CD">
      <w:pPr>
        <w:pStyle w:val="paragraph"/>
        <w:textAlignment w:val="baseline"/>
        <w:rPr>
          <w:rFonts w:ascii="Arial" w:hAnsi="Arial" w:cs="Arial"/>
          <w:b/>
          <w:bCs/>
          <w:color w:val="455560"/>
          <w:lang w:eastAsia="en-US"/>
        </w:rPr>
      </w:pPr>
      <w:r w:rsidRPr="00577D8A">
        <w:rPr>
          <w:rFonts w:ascii="Arial" w:hAnsi="Arial" w:cs="Arial"/>
          <w:b/>
          <w:bCs/>
          <w:color w:val="455560"/>
          <w:lang w:eastAsia="en-US"/>
        </w:rPr>
        <w:t>Approach for indicative valuations</w:t>
      </w:r>
    </w:p>
    <w:p w14:paraId="4B052A43" w14:textId="77777777" w:rsidR="000F36CD" w:rsidRPr="00577D8A" w:rsidRDefault="000F36CD" w:rsidP="000F36CD">
      <w:pPr>
        <w:pStyle w:val="paragraph"/>
        <w:textAlignment w:val="baseline"/>
        <w:rPr>
          <w:rFonts w:ascii="Arial" w:hAnsi="Arial" w:cs="Arial"/>
          <w:color w:val="455560"/>
          <w:sz w:val="20"/>
          <w:szCs w:val="20"/>
          <w:lang w:eastAsia="en-US"/>
        </w:rPr>
      </w:pPr>
      <w:r w:rsidRPr="00577D8A">
        <w:rPr>
          <w:rFonts w:ascii="Arial" w:hAnsi="Arial" w:cs="Arial"/>
          <w:color w:val="455560"/>
          <w:sz w:val="20"/>
          <w:szCs w:val="20"/>
          <w:lang w:eastAsia="en-US"/>
        </w:rPr>
        <w:t>If an employer requests an indicative valuation under Regulation 61 (2A) the following principles will apply:</w:t>
      </w:r>
    </w:p>
    <w:p w14:paraId="2033274E" w14:textId="77777777" w:rsidR="000F36CD" w:rsidRPr="00577D8A" w:rsidRDefault="000F36CD" w:rsidP="000F36CD">
      <w:pPr>
        <w:pStyle w:val="paragraph"/>
        <w:numPr>
          <w:ilvl w:val="0"/>
          <w:numId w:val="43"/>
        </w:numPr>
        <w:textAlignment w:val="baseline"/>
        <w:rPr>
          <w:rFonts w:ascii="Arial" w:hAnsi="Arial" w:cs="Arial"/>
          <w:color w:val="455560"/>
          <w:sz w:val="20"/>
          <w:szCs w:val="20"/>
          <w:lang w:eastAsia="en-US"/>
        </w:rPr>
      </w:pPr>
      <w:r w:rsidRPr="00577D8A">
        <w:rPr>
          <w:rFonts w:ascii="Arial" w:hAnsi="Arial" w:cs="Arial"/>
          <w:color w:val="455560"/>
          <w:sz w:val="20"/>
          <w:szCs w:val="20"/>
          <w:lang w:eastAsia="en-US"/>
        </w:rPr>
        <w:t>The Fund will adopt a future investment return assumption that has been calculated based on a 95% likelihood of success of being generated by the Fund’s current investment strategy</w:t>
      </w:r>
    </w:p>
    <w:p w14:paraId="6577ADE8" w14:textId="77777777" w:rsidR="000F36CD" w:rsidRPr="00577D8A" w:rsidRDefault="000F36CD" w:rsidP="000F36CD">
      <w:pPr>
        <w:pStyle w:val="paragraph"/>
        <w:numPr>
          <w:ilvl w:val="0"/>
          <w:numId w:val="43"/>
        </w:numPr>
        <w:textAlignment w:val="baseline"/>
        <w:rPr>
          <w:rFonts w:ascii="Arial" w:hAnsi="Arial" w:cs="Arial"/>
          <w:color w:val="455560"/>
          <w:sz w:val="20"/>
          <w:szCs w:val="20"/>
          <w:lang w:eastAsia="en-US"/>
        </w:rPr>
      </w:pPr>
      <w:r w:rsidRPr="00577D8A">
        <w:rPr>
          <w:rFonts w:ascii="Arial" w:hAnsi="Arial" w:cs="Arial"/>
          <w:color w:val="455560"/>
          <w:sz w:val="20"/>
          <w:szCs w:val="20"/>
          <w:lang w:eastAsia="en-US"/>
        </w:rPr>
        <w:t>An estimate of any additional liability that will be earned by current employees of the employer over 90 days will be included within the calculations, by comparing the cost of accrual against the expected contributions payable.</w:t>
      </w:r>
    </w:p>
    <w:p w14:paraId="3B577D91" w14:textId="77777777" w:rsidR="000F36CD" w:rsidRPr="00577D8A" w:rsidRDefault="000F36CD" w:rsidP="000F36CD">
      <w:pPr>
        <w:pStyle w:val="paragraph"/>
        <w:numPr>
          <w:ilvl w:val="0"/>
          <w:numId w:val="43"/>
        </w:numPr>
        <w:textAlignment w:val="baseline"/>
        <w:rPr>
          <w:rFonts w:ascii="Arial" w:hAnsi="Arial" w:cs="Arial"/>
          <w:color w:val="455560"/>
          <w:sz w:val="20"/>
          <w:szCs w:val="20"/>
          <w:lang w:eastAsia="en-US"/>
        </w:rPr>
      </w:pPr>
      <w:r w:rsidRPr="00577D8A">
        <w:rPr>
          <w:rFonts w:ascii="Arial" w:hAnsi="Arial" w:cs="Arial"/>
          <w:color w:val="455560"/>
          <w:sz w:val="20"/>
          <w:szCs w:val="20"/>
          <w:lang w:eastAsia="en-US"/>
        </w:rPr>
        <w:t xml:space="preserve">Any increases in liability that occur following the indicative valuation that arise in respect of early retirements, benefit augmentations, ill-health early retirements or salary increases </w:t>
      </w:r>
      <w:proofErr w:type="gramStart"/>
      <w:r w:rsidRPr="00577D8A">
        <w:rPr>
          <w:rFonts w:ascii="Arial" w:hAnsi="Arial" w:cs="Arial"/>
          <w:color w:val="455560"/>
          <w:sz w:val="20"/>
          <w:szCs w:val="20"/>
          <w:lang w:eastAsia="en-US"/>
        </w:rPr>
        <w:t>in excess of</w:t>
      </w:r>
      <w:proofErr w:type="gramEnd"/>
      <w:r w:rsidRPr="00577D8A">
        <w:rPr>
          <w:rFonts w:ascii="Arial" w:hAnsi="Arial" w:cs="Arial"/>
          <w:color w:val="455560"/>
          <w:sz w:val="20"/>
          <w:szCs w:val="20"/>
          <w:lang w:eastAsia="en-US"/>
        </w:rPr>
        <w:t xml:space="preserve"> those assumed within the indicative valuation will be charged to the employer in addition to any cessation debt (or deducted from any cessation surplus)</w:t>
      </w:r>
    </w:p>
    <w:p w14:paraId="2678E6D0" w14:textId="77777777" w:rsidR="000F36CD" w:rsidRPr="00577D8A" w:rsidRDefault="000F36CD" w:rsidP="000F36CD">
      <w:pPr>
        <w:pStyle w:val="paragraph"/>
        <w:numPr>
          <w:ilvl w:val="0"/>
          <w:numId w:val="43"/>
        </w:numPr>
        <w:textAlignment w:val="baseline"/>
        <w:rPr>
          <w:rFonts w:ascii="Arial" w:hAnsi="Arial" w:cs="Arial"/>
          <w:color w:val="455560"/>
          <w:sz w:val="20"/>
          <w:szCs w:val="20"/>
          <w:lang w:eastAsia="en-US"/>
        </w:rPr>
      </w:pPr>
      <w:r w:rsidRPr="00577D8A">
        <w:rPr>
          <w:rFonts w:ascii="Arial" w:hAnsi="Arial" w:cs="Arial"/>
          <w:color w:val="455560"/>
          <w:sz w:val="20"/>
          <w:szCs w:val="20"/>
          <w:lang w:eastAsia="en-US"/>
        </w:rPr>
        <w:t xml:space="preserve">The specific date of the indicative valuation must be no earlier, and within 1 month of, the date of the employer’s request.  </w:t>
      </w:r>
    </w:p>
    <w:p w14:paraId="3320E485" w14:textId="073B89D1" w:rsidR="000F36CD" w:rsidRPr="000F36CD" w:rsidRDefault="000F36CD" w:rsidP="000F36CD">
      <w:pPr>
        <w:pStyle w:val="paragraph"/>
        <w:spacing w:before="20" w:beforeAutospacing="0" w:after="200" w:afterAutospacing="0" w:line="280" w:lineRule="atLeast"/>
        <w:textAlignment w:val="baseline"/>
        <w:rPr>
          <w:rFonts w:ascii="Arial" w:hAnsi="Arial" w:cs="Arial"/>
          <w:color w:val="455560"/>
          <w:sz w:val="20"/>
          <w:szCs w:val="20"/>
          <w:lang w:eastAsia="en-US"/>
        </w:rPr>
      </w:pPr>
      <w:r w:rsidRPr="00577D8A">
        <w:rPr>
          <w:rFonts w:ascii="Arial" w:hAnsi="Arial" w:cs="Arial"/>
          <w:iCs/>
          <w:color w:val="455560"/>
          <w:sz w:val="20"/>
          <w:szCs w:val="20"/>
          <w:lang w:eastAsia="en-US"/>
        </w:rPr>
        <w:t>The risk-based corridor approach does not apply for indicative valuations</w:t>
      </w:r>
    </w:p>
    <w:p w14:paraId="0A71EB22" w14:textId="77777777" w:rsidR="00F93097" w:rsidRPr="00343B3D" w:rsidRDefault="00F93097" w:rsidP="00317721">
      <w:pPr>
        <w:pStyle w:val="Heading4"/>
      </w:pPr>
      <w:r>
        <w:t xml:space="preserve">G5.2 Repayment </w:t>
      </w:r>
      <w:r w:rsidRPr="00343B3D">
        <w:t>flexibility on exit</w:t>
      </w:r>
      <w:r>
        <w:t xml:space="preserve"> payments</w:t>
      </w:r>
    </w:p>
    <w:p w14:paraId="4F5635EB" w14:textId="77777777" w:rsidR="00F93097" w:rsidRDefault="00F93097" w:rsidP="00317721">
      <w:pPr>
        <w:pStyle w:val="Appendix2"/>
        <w:ind w:firstLine="0"/>
      </w:pPr>
      <w:bookmarkStart w:id="122" w:name="_Deferred_spreading_arrangement"/>
      <w:bookmarkEnd w:id="122"/>
      <w:r>
        <w:t>Deferred spreading arrangement (DSA)</w:t>
      </w:r>
    </w:p>
    <w:p w14:paraId="395F458C" w14:textId="77777777" w:rsidR="00F93097" w:rsidRDefault="00F93097" w:rsidP="00F93097">
      <w:pPr>
        <w:pStyle w:val="BodyTextGrey"/>
      </w:pPr>
      <w:r>
        <w:t>The Fund will consider written requests from exiting employers to spread an exit payment over an agreed period, in the exceptional circumstance where payment of the debt in a single immediate lump sum could be shown by the employer to be materially detrimental to the employer’s financial situation.</w:t>
      </w:r>
    </w:p>
    <w:p w14:paraId="16FBE926" w14:textId="77777777" w:rsidR="00F93097" w:rsidRDefault="00F93097" w:rsidP="00F93097">
      <w:pPr>
        <w:pStyle w:val="BodyTextGrey"/>
      </w:pPr>
      <w:r>
        <w:t>In this exceptional case, the Fund’s policy is:</w:t>
      </w:r>
    </w:p>
    <w:p w14:paraId="592C0FC0" w14:textId="77777777" w:rsidR="00F93097" w:rsidRDefault="00F93097" w:rsidP="00F9314B">
      <w:pPr>
        <w:pStyle w:val="BodyTextGrey"/>
        <w:numPr>
          <w:ilvl w:val="0"/>
          <w:numId w:val="36"/>
        </w:numPr>
      </w:pPr>
      <w:r>
        <w:t>The agreed spread period is no more than three years, but the Fund could use its discretion to extend this period in extreme circumstances.</w:t>
      </w:r>
    </w:p>
    <w:p w14:paraId="0A651464" w14:textId="77777777" w:rsidR="00F93097" w:rsidRDefault="00F93097" w:rsidP="00F9314B">
      <w:pPr>
        <w:pStyle w:val="BodyTextGrey"/>
        <w:numPr>
          <w:ilvl w:val="0"/>
          <w:numId w:val="36"/>
        </w:numPr>
      </w:pPr>
      <w:r>
        <w:t xml:space="preserve">The Fund may consider factors such as the size of the exit payment and the financial covenant of the exiting employer in determining an appropriate spreading period. </w:t>
      </w:r>
    </w:p>
    <w:p w14:paraId="62CBF96C" w14:textId="77777777" w:rsidR="00F93097" w:rsidRDefault="00F93097" w:rsidP="00F9314B">
      <w:pPr>
        <w:pStyle w:val="BodyTextGrey"/>
        <w:numPr>
          <w:ilvl w:val="0"/>
          <w:numId w:val="36"/>
        </w:numPr>
      </w:pPr>
      <w:r>
        <w:t xml:space="preserve">The exiting employer may be asked to provide the Administering Authority with relevant financial information such as a copy of its </w:t>
      </w:r>
      <w:r w:rsidRPr="0044769C">
        <w:t xml:space="preserve">latest accounts, sources of </w:t>
      </w:r>
      <w:r>
        <w:t>fund</w:t>
      </w:r>
      <w:r w:rsidRPr="0044769C">
        <w:t>ing, budget forecasts, credit rating (if any)</w:t>
      </w:r>
      <w:r>
        <w:t xml:space="preserve"> etc. to help in this determination.</w:t>
      </w:r>
    </w:p>
    <w:p w14:paraId="462C8DCF" w14:textId="77777777" w:rsidR="00F93097" w:rsidRDefault="00F93097" w:rsidP="00F9314B">
      <w:pPr>
        <w:pStyle w:val="BodyTextGrey"/>
        <w:numPr>
          <w:ilvl w:val="0"/>
          <w:numId w:val="36"/>
        </w:numPr>
      </w:pPr>
      <w:r>
        <w:t>Payments due under the DSA may be subject to an interest charge.</w:t>
      </w:r>
    </w:p>
    <w:p w14:paraId="3649156B" w14:textId="77777777" w:rsidR="00F93097" w:rsidRDefault="00F93097" w:rsidP="00F9314B">
      <w:pPr>
        <w:pStyle w:val="BodyTextGrey"/>
        <w:numPr>
          <w:ilvl w:val="0"/>
          <w:numId w:val="36"/>
        </w:numPr>
      </w:pPr>
      <w:r>
        <w:t xml:space="preserve">The Fund will only consider written requests </w:t>
      </w:r>
      <w:r w:rsidRPr="00973024">
        <w:t xml:space="preserve">within three months of the employer exiting the </w:t>
      </w:r>
      <w:r>
        <w:t>Fund</w:t>
      </w:r>
      <w:r w:rsidRPr="00E84C34">
        <w:t>. The</w:t>
      </w:r>
      <w:r>
        <w:t xml:space="preserve"> exiting employer would be required to provide the Fund with detailed financial information to support its request.</w:t>
      </w:r>
    </w:p>
    <w:p w14:paraId="2CC76DD5" w14:textId="77777777" w:rsidR="00F93097" w:rsidRDefault="00F93097" w:rsidP="00F9314B">
      <w:pPr>
        <w:pStyle w:val="BodyTextGrey"/>
        <w:numPr>
          <w:ilvl w:val="0"/>
          <w:numId w:val="36"/>
        </w:numPr>
      </w:pPr>
      <w:r>
        <w:t xml:space="preserve">The Fund would </w:t>
      </w:r>
      <w:proofErr w:type="gramStart"/>
      <w:r>
        <w:t>take into account</w:t>
      </w:r>
      <w:proofErr w:type="gramEnd"/>
      <w:r>
        <w:t xml:space="preserve"> the amount of any security offered and seek actuarial, covenant and legal advice in all cases.</w:t>
      </w:r>
    </w:p>
    <w:p w14:paraId="79CD548D" w14:textId="77777777" w:rsidR="00F93097" w:rsidRDefault="00F93097" w:rsidP="00F9314B">
      <w:pPr>
        <w:pStyle w:val="BodyTextGrey"/>
        <w:numPr>
          <w:ilvl w:val="0"/>
          <w:numId w:val="36"/>
        </w:numPr>
      </w:pPr>
      <w:r>
        <w:t>The Fund reserves the right to require that the exiting employer provides some form of security (such as a charge over assets, bond indemnity or guarantee) relating to the unpaid amount of debt at any given time.</w:t>
      </w:r>
    </w:p>
    <w:p w14:paraId="55318CB3" w14:textId="77777777" w:rsidR="00F93097" w:rsidRDefault="00F93097" w:rsidP="00F9314B">
      <w:pPr>
        <w:pStyle w:val="BodyTextGrey"/>
        <w:numPr>
          <w:ilvl w:val="0"/>
          <w:numId w:val="36"/>
        </w:numPr>
      </w:pPr>
      <w:r>
        <w:t>The Fund proposes a legal document, setting out the terms of the exit payment agreement, would be prepared by the Fund and signed by all relevant parties prior to the payment agreement commencing.</w:t>
      </w:r>
    </w:p>
    <w:p w14:paraId="68EF8305" w14:textId="77777777" w:rsidR="00F93097" w:rsidRDefault="00F93097" w:rsidP="00F9314B">
      <w:pPr>
        <w:pStyle w:val="BodyTextGrey"/>
        <w:numPr>
          <w:ilvl w:val="0"/>
          <w:numId w:val="36"/>
        </w:numPr>
      </w:pPr>
      <w:r>
        <w:t xml:space="preserve">The terms of the legal document should include reference to the </w:t>
      </w:r>
      <w:r w:rsidRPr="0044769C">
        <w:t>spreading period,</w:t>
      </w:r>
      <w:r>
        <w:t xml:space="preserve"> </w:t>
      </w:r>
      <w:r w:rsidRPr="0044769C">
        <w:t>the annual payments due,</w:t>
      </w:r>
      <w:r>
        <w:t xml:space="preserve"> </w:t>
      </w:r>
      <w:r w:rsidRPr="0044769C">
        <w:t>interest rates applicable,</w:t>
      </w:r>
      <w:r>
        <w:t xml:space="preserve"> </w:t>
      </w:r>
      <w:r w:rsidRPr="0044769C">
        <w:t>other costs payable and</w:t>
      </w:r>
      <w:r>
        <w:t xml:space="preserve"> </w:t>
      </w:r>
      <w:r w:rsidRPr="0044769C">
        <w:t xml:space="preserve">the responsibilities of the </w:t>
      </w:r>
      <w:r>
        <w:t xml:space="preserve">exiting </w:t>
      </w:r>
      <w:r w:rsidRPr="0044769C">
        <w:t>employer during the exit spreading period.</w:t>
      </w:r>
    </w:p>
    <w:p w14:paraId="47824868" w14:textId="77777777" w:rsidR="00F93097" w:rsidRDefault="00F93097" w:rsidP="00F9314B">
      <w:pPr>
        <w:pStyle w:val="BodyTextGrey"/>
        <w:numPr>
          <w:ilvl w:val="0"/>
          <w:numId w:val="36"/>
        </w:numPr>
      </w:pPr>
      <w:r>
        <w:t>Any breach of the agreed payment plan would require payment of the outstanding cessation amount immediately.</w:t>
      </w:r>
    </w:p>
    <w:p w14:paraId="6C20A5B4" w14:textId="77777777" w:rsidR="00F93097" w:rsidRDefault="00F93097" w:rsidP="00F9314B">
      <w:pPr>
        <w:pStyle w:val="BodyTextGrey"/>
        <w:numPr>
          <w:ilvl w:val="0"/>
          <w:numId w:val="36"/>
        </w:numPr>
      </w:pPr>
      <w:r w:rsidRPr="003C179A">
        <w:t>Where appropriate, cases may be referred to the Pensions</w:t>
      </w:r>
      <w:r>
        <w:t xml:space="preserve"> Committee</w:t>
      </w:r>
      <w:r w:rsidRPr="003C179A">
        <w:t xml:space="preserve"> for consideration and considered on its individual merit. Decisions may be made by </w:t>
      </w:r>
      <w:r>
        <w:t xml:space="preserve">Fund Officers, in consultation with </w:t>
      </w:r>
      <w:r w:rsidRPr="003C179A">
        <w:t>the Chair</w:t>
      </w:r>
      <w:r>
        <w:t>,</w:t>
      </w:r>
      <w:r w:rsidRPr="003C179A">
        <w:t xml:space="preserve"> if an urgent decision is required between </w:t>
      </w:r>
      <w:r>
        <w:t>Committee</w:t>
      </w:r>
      <w:r w:rsidRPr="003C179A">
        <w:t xml:space="preserve"> meetings.</w:t>
      </w:r>
    </w:p>
    <w:p w14:paraId="1C68B042" w14:textId="06E729E0" w:rsidR="005B3BCD" w:rsidRDefault="00F93097" w:rsidP="005B3BCD">
      <w:pPr>
        <w:pStyle w:val="BodyTextGrey"/>
        <w:numPr>
          <w:ilvl w:val="0"/>
          <w:numId w:val="36"/>
        </w:numPr>
      </w:pPr>
      <w:r>
        <w:t>All costs of the arrangement are to be met by the employer, such as the cost of advice to the Fund, ongoing monitoring or the arrangement and correspondence on any ongoing contribution and security requirements.</w:t>
      </w:r>
    </w:p>
    <w:p w14:paraId="6C2FB109" w14:textId="6CA650E2" w:rsidR="00F068AF" w:rsidRDefault="00F068AF" w:rsidP="00600DE8">
      <w:pPr>
        <w:spacing w:before="20" w:after="200" w:line="280" w:lineRule="atLeast"/>
        <w:ind w:left="360"/>
        <w:textAlignment w:val="auto"/>
        <w:rPr>
          <w:rFonts w:cs="Arial"/>
          <w:iCs/>
          <w:color w:val="4B4B4B"/>
          <w:sz w:val="20"/>
          <w:szCs w:val="20"/>
          <w:lang w:eastAsia="en-US"/>
        </w:rPr>
      </w:pPr>
    </w:p>
    <w:p w14:paraId="4159863C" w14:textId="77AABD5E" w:rsidR="00294E52" w:rsidRPr="00294E52" w:rsidRDefault="00294E52" w:rsidP="005578D1">
      <w:pPr>
        <w:numPr>
          <w:ilvl w:val="0"/>
          <w:numId w:val="45"/>
        </w:numPr>
        <w:spacing w:before="20" w:after="200" w:line="280" w:lineRule="atLeast"/>
        <w:textAlignment w:val="auto"/>
      </w:pPr>
      <w:r w:rsidRPr="00294E52">
        <w:rPr>
          <w:rFonts w:cs="Arial"/>
          <w:iCs/>
          <w:color w:val="4B4B4B"/>
          <w:sz w:val="20"/>
          <w:szCs w:val="20"/>
          <w:lang w:eastAsia="en-US"/>
        </w:rPr>
        <w:br w:type="page"/>
      </w:r>
    </w:p>
    <w:p w14:paraId="3CCB7B43" w14:textId="77777777" w:rsidR="005B3BCD" w:rsidRPr="003C179A" w:rsidRDefault="005B3BCD" w:rsidP="00294E52">
      <w:pPr>
        <w:pStyle w:val="BodyTextGrey"/>
      </w:pPr>
    </w:p>
    <w:p w14:paraId="01B2BF50" w14:textId="77777777" w:rsidR="00F93097" w:rsidRPr="00881D83" w:rsidRDefault="00F93097" w:rsidP="00317721">
      <w:pPr>
        <w:pStyle w:val="Appendix2"/>
        <w:ind w:firstLine="0"/>
      </w:pPr>
      <w:r w:rsidRPr="00881D83">
        <w:t xml:space="preserve">Deferred debt </w:t>
      </w:r>
      <w:r>
        <w:t>agreement</w:t>
      </w:r>
      <w:r w:rsidRPr="00881D83">
        <w:t xml:space="preserve"> (DDA)</w:t>
      </w:r>
    </w:p>
    <w:p w14:paraId="41620F91" w14:textId="77777777" w:rsidR="00F93097" w:rsidRPr="00E506B2" w:rsidRDefault="00F93097" w:rsidP="00F93097">
      <w:pPr>
        <w:pStyle w:val="BodyTextGrey"/>
        <w:rPr>
          <w:color w:val="FF0000"/>
        </w:rPr>
      </w:pPr>
      <w:r w:rsidRPr="00562706">
        <w:t xml:space="preserve">When an </w:t>
      </w:r>
      <w:proofErr w:type="spellStart"/>
      <w:r w:rsidRPr="00562706">
        <w:t>exiting</w:t>
      </w:r>
      <w:proofErr w:type="spellEnd"/>
      <w:r w:rsidRPr="00562706">
        <w:t xml:space="preserve"> employer is unable to pay the required cessation payment as a single </w:t>
      </w:r>
      <w:proofErr w:type="gramStart"/>
      <w:r w:rsidRPr="00562706">
        <w:t>lump-sum</w:t>
      </w:r>
      <w:proofErr w:type="gramEnd"/>
      <w:r w:rsidRPr="00562706">
        <w:t xml:space="preserve">, </w:t>
      </w:r>
      <w:r>
        <w:t>t</w:t>
      </w:r>
      <w:r w:rsidRPr="00E506B2">
        <w:t xml:space="preserve">he </w:t>
      </w:r>
      <w:r>
        <w:t>Fund</w:t>
      </w:r>
      <w:r w:rsidRPr="00E506B2">
        <w:t xml:space="preserve">’s preferred policy is </w:t>
      </w:r>
      <w:r>
        <w:t>to spread the payment via a deferred spreading arrangement (DSA). However, in the event that spreading of payments will</w:t>
      </w:r>
      <w:r w:rsidRPr="00E506B2">
        <w:t xml:space="preserve"> create a high risk of bankruptcy for the exiting employer, the </w:t>
      </w:r>
      <w:r>
        <w:t>Fund</w:t>
      </w:r>
      <w:r w:rsidRPr="00E506B2">
        <w:t xml:space="preserve"> may exercise its discretion to set up a </w:t>
      </w:r>
      <w:r>
        <w:t>d</w:t>
      </w:r>
      <w:r w:rsidRPr="00E506B2">
        <w:t xml:space="preserve">eferred </w:t>
      </w:r>
      <w:r>
        <w:t>d</w:t>
      </w:r>
      <w:r w:rsidRPr="00E506B2">
        <w:t xml:space="preserve">ebt </w:t>
      </w:r>
      <w:r>
        <w:t>a</w:t>
      </w:r>
      <w:r w:rsidRPr="00E506B2">
        <w:t xml:space="preserve">greement as described in </w:t>
      </w:r>
      <w:hyperlink r:id="rId29" w:anchor="r61" w:history="1">
        <w:r>
          <w:rPr>
            <w:rStyle w:val="Hyperlink"/>
          </w:rPr>
          <w:t>Regulation 61 (4B)</w:t>
        </w:r>
      </w:hyperlink>
      <w:r w:rsidRPr="00E506B2">
        <w:t>)</w:t>
      </w:r>
      <w:r w:rsidRPr="00E506B2">
        <w:rPr>
          <w:color w:val="FF0000"/>
        </w:rPr>
        <w:t xml:space="preserve">.  </w:t>
      </w:r>
    </w:p>
    <w:p w14:paraId="69FC0DA9" w14:textId="77777777" w:rsidR="00F93097" w:rsidRPr="0044769C" w:rsidRDefault="00F93097" w:rsidP="00F93097">
      <w:pPr>
        <w:pStyle w:val="BodyTextGrey"/>
      </w:pPr>
      <w:r>
        <w:t>Where a DDA is in place, t</w:t>
      </w:r>
      <w:r w:rsidRPr="0044769C">
        <w:t xml:space="preserve">he </w:t>
      </w:r>
      <w:r>
        <w:t>employer</w:t>
      </w:r>
      <w:r w:rsidRPr="0044769C">
        <w:t xml:space="preserve"> must </w:t>
      </w:r>
      <w:r>
        <w:t xml:space="preserve">continue to </w:t>
      </w:r>
      <w:r w:rsidRPr="0044769C">
        <w:t xml:space="preserve">meet all </w:t>
      </w:r>
      <w:r>
        <w:t xml:space="preserve">regulatory and Fund-specific </w:t>
      </w:r>
      <w:r w:rsidRPr="0044769C">
        <w:t xml:space="preserve">requirements on Scheme employers and pay the secondary rate of contributions as determined by the </w:t>
      </w:r>
      <w:r>
        <w:t>Fund</w:t>
      </w:r>
      <w:r w:rsidRPr="0044769C">
        <w:t xml:space="preserve"> </w:t>
      </w:r>
      <w:r>
        <w:t>a</w:t>
      </w:r>
      <w:r w:rsidRPr="0044769C">
        <w:t xml:space="preserve">ctuary until the termination of the </w:t>
      </w:r>
      <w:r>
        <w:t>DDA</w:t>
      </w:r>
      <w:r w:rsidRPr="0044769C">
        <w:t>.</w:t>
      </w:r>
    </w:p>
    <w:p w14:paraId="05A4F107" w14:textId="77777777" w:rsidR="00F93097" w:rsidRPr="00E40D02" w:rsidRDefault="00F93097" w:rsidP="00F93097">
      <w:pPr>
        <w:pStyle w:val="BulletHymans"/>
        <w:ind w:left="567" w:hanging="567"/>
      </w:pPr>
      <w:r w:rsidRPr="008938F8">
        <w:t xml:space="preserve">The </w:t>
      </w:r>
      <w:r>
        <w:t>Administering Authority</w:t>
      </w:r>
      <w:r w:rsidRPr="008938F8">
        <w:t xml:space="preserve"> may consider a DDA in the follo</w:t>
      </w:r>
      <w:r w:rsidRPr="00E40D02">
        <w:t xml:space="preserve">wing circumstances: </w:t>
      </w:r>
    </w:p>
    <w:p w14:paraId="23BF4AD9" w14:textId="77777777" w:rsidR="00F93097" w:rsidRPr="00E40D02" w:rsidRDefault="00F93097" w:rsidP="00F9314B">
      <w:pPr>
        <w:pStyle w:val="BodyTextGrey"/>
        <w:numPr>
          <w:ilvl w:val="0"/>
          <w:numId w:val="40"/>
        </w:numPr>
      </w:pPr>
      <w:r w:rsidRPr="00E40D02">
        <w:t xml:space="preserve">The </w:t>
      </w:r>
      <w:r>
        <w:t>employer</w:t>
      </w:r>
      <w:r w:rsidRPr="00E40D02">
        <w:t xml:space="preserve"> requests the </w:t>
      </w:r>
      <w:r>
        <w:t>Fund</w:t>
      </w:r>
      <w:r w:rsidRPr="00E40D02">
        <w:t xml:space="preserve"> consider a </w:t>
      </w:r>
      <w:r>
        <w:t>DDA.</w:t>
      </w:r>
    </w:p>
    <w:p w14:paraId="7CA72E3C" w14:textId="77777777" w:rsidR="00F93097" w:rsidRPr="00E40D02" w:rsidRDefault="00F93097" w:rsidP="00F9314B">
      <w:pPr>
        <w:pStyle w:val="BodyTextGrey"/>
        <w:numPr>
          <w:ilvl w:val="0"/>
          <w:numId w:val="40"/>
        </w:numPr>
      </w:pPr>
      <w:r w:rsidRPr="00E40D02">
        <w:t xml:space="preserve">The </w:t>
      </w:r>
      <w:r>
        <w:t>employer</w:t>
      </w:r>
      <w:r w:rsidRPr="00E40D02">
        <w:t xml:space="preserve"> is expected to have a deficit if a cessation valuation was carried out</w:t>
      </w:r>
      <w:r>
        <w:t>.</w:t>
      </w:r>
    </w:p>
    <w:p w14:paraId="34A5B7F9" w14:textId="77777777" w:rsidR="00F93097" w:rsidRPr="00E40D02" w:rsidRDefault="00F93097" w:rsidP="00F9314B">
      <w:pPr>
        <w:pStyle w:val="BodyTextGrey"/>
        <w:numPr>
          <w:ilvl w:val="0"/>
          <w:numId w:val="40"/>
        </w:numPr>
      </w:pPr>
      <w:r>
        <w:t>T</w:t>
      </w:r>
      <w:r w:rsidRPr="00E40D02">
        <w:t xml:space="preserve">he </w:t>
      </w:r>
      <w:r>
        <w:t>employer</w:t>
      </w:r>
      <w:r w:rsidRPr="00E40D02">
        <w:t xml:space="preserve"> is expected to be a going concern</w:t>
      </w:r>
      <w:r>
        <w:t>.</w:t>
      </w:r>
      <w:r w:rsidRPr="00E40D02">
        <w:t xml:space="preserve"> </w:t>
      </w:r>
    </w:p>
    <w:p w14:paraId="548F8ED1" w14:textId="77777777" w:rsidR="00F93097" w:rsidRDefault="00F93097" w:rsidP="00F9314B">
      <w:pPr>
        <w:pStyle w:val="BodyTextGrey"/>
        <w:numPr>
          <w:ilvl w:val="0"/>
          <w:numId w:val="40"/>
        </w:numPr>
      </w:pPr>
      <w:r w:rsidRPr="00E40D02">
        <w:t xml:space="preserve">The covenant of the </w:t>
      </w:r>
      <w:r>
        <w:t>employer</w:t>
      </w:r>
      <w:r w:rsidRPr="00E40D02">
        <w:t xml:space="preserve"> is considered sufficient by the </w:t>
      </w:r>
      <w:r>
        <w:t>Administering Authority.</w:t>
      </w:r>
    </w:p>
    <w:p w14:paraId="2266CD15" w14:textId="77777777" w:rsidR="00F93097" w:rsidRDefault="00F93097" w:rsidP="00F93097">
      <w:pPr>
        <w:pStyle w:val="BulletHymans"/>
        <w:spacing w:line="240" w:lineRule="auto"/>
        <w:jc w:val="both"/>
      </w:pPr>
      <w:r w:rsidRPr="00E40D02">
        <w:t xml:space="preserve">The </w:t>
      </w:r>
      <w:r>
        <w:t>Administering Authority</w:t>
      </w:r>
      <w:r w:rsidRPr="00E40D02">
        <w:t xml:space="preserve"> will normally require: </w:t>
      </w:r>
    </w:p>
    <w:p w14:paraId="5CD65A58" w14:textId="77777777" w:rsidR="00F93097" w:rsidRDefault="00F93097" w:rsidP="00F9314B">
      <w:pPr>
        <w:pStyle w:val="BodyTextGrey"/>
        <w:numPr>
          <w:ilvl w:val="0"/>
          <w:numId w:val="41"/>
        </w:numPr>
      </w:pPr>
      <w:r>
        <w:t xml:space="preserve">A legal document to be prepared, setting out the terms of the DDA and signed by all relevant parties prior to the arrangement </w:t>
      </w:r>
      <w:proofErr w:type="gramStart"/>
      <w:r>
        <w:t>commencing.(</w:t>
      </w:r>
      <w:proofErr w:type="gramEnd"/>
      <w:r>
        <w:t xml:space="preserve">including details of the </w:t>
      </w:r>
      <w:proofErr w:type="gramStart"/>
      <w:r>
        <w:t>time period</w:t>
      </w:r>
      <w:proofErr w:type="gramEnd"/>
      <w:r>
        <w:t xml:space="preserve"> of the DDA</w:t>
      </w:r>
      <w:r w:rsidRPr="00415034">
        <w:t>,</w:t>
      </w:r>
      <w:r>
        <w:t xml:space="preserve"> the annual payments due, the frequency of review and </w:t>
      </w:r>
      <w:r w:rsidRPr="00415034">
        <w:t xml:space="preserve">the responsibilities of the employer during </w:t>
      </w:r>
      <w:r>
        <w:t xml:space="preserve">the </w:t>
      </w:r>
      <w:r w:rsidRPr="00415034">
        <w:t>period</w:t>
      </w:r>
      <w:r>
        <w:t>)</w:t>
      </w:r>
      <w:r w:rsidRPr="00415034">
        <w:t>.</w:t>
      </w:r>
    </w:p>
    <w:p w14:paraId="2654D942" w14:textId="77777777" w:rsidR="00F93097" w:rsidRPr="00E40D02" w:rsidRDefault="00F93097" w:rsidP="00F9314B">
      <w:pPr>
        <w:pStyle w:val="BulletHymans"/>
        <w:numPr>
          <w:ilvl w:val="0"/>
          <w:numId w:val="41"/>
        </w:numPr>
        <w:spacing w:line="240" w:lineRule="auto"/>
        <w:jc w:val="both"/>
      </w:pPr>
      <w:r>
        <w:t xml:space="preserve">Relevant financial information for the employer such as a copy of its </w:t>
      </w:r>
      <w:r w:rsidRPr="00415034">
        <w:t xml:space="preserve">latest accounts, sources of </w:t>
      </w:r>
      <w:r>
        <w:t>fund</w:t>
      </w:r>
      <w:r w:rsidRPr="00415034">
        <w:t>ing, budget forecasts, credit rating (if any)</w:t>
      </w:r>
      <w:r>
        <w:t xml:space="preserve"> to support its covenant assessment.</w:t>
      </w:r>
    </w:p>
    <w:p w14:paraId="201F730C" w14:textId="77777777" w:rsidR="00F93097" w:rsidRPr="00E40D02" w:rsidRDefault="00F93097" w:rsidP="00F9314B">
      <w:pPr>
        <w:pStyle w:val="BodyTextGrey"/>
        <w:numPr>
          <w:ilvl w:val="0"/>
          <w:numId w:val="39"/>
        </w:numPr>
      </w:pPr>
      <w:r w:rsidRPr="00E40D02">
        <w:t xml:space="preserve">Security be put in place covering the </w:t>
      </w:r>
      <w:r>
        <w:t xml:space="preserve">employer’s </w:t>
      </w:r>
      <w:r w:rsidRPr="00E40D02">
        <w:t>deficit on their cessation basis</w:t>
      </w:r>
      <w:r>
        <w:t xml:space="preserve"> and the Fund will seek actuarial, covenant and legal advice in all cases.</w:t>
      </w:r>
    </w:p>
    <w:p w14:paraId="718D646E" w14:textId="77777777" w:rsidR="00F93097" w:rsidRPr="00E40D02" w:rsidRDefault="00F93097" w:rsidP="00F9314B">
      <w:pPr>
        <w:pStyle w:val="BodyTextGrey"/>
        <w:numPr>
          <w:ilvl w:val="0"/>
          <w:numId w:val="39"/>
        </w:numPr>
      </w:pPr>
      <w:r w:rsidRPr="00E40D02">
        <w:t>Regular monitoring of the contribution requirements and security requirements</w:t>
      </w:r>
    </w:p>
    <w:p w14:paraId="5852BE54" w14:textId="77777777" w:rsidR="00F93097" w:rsidRPr="00E40D02" w:rsidRDefault="00F93097" w:rsidP="00F9314B">
      <w:pPr>
        <w:pStyle w:val="BodyTextGrey"/>
        <w:numPr>
          <w:ilvl w:val="0"/>
          <w:numId w:val="37"/>
        </w:numPr>
      </w:pPr>
      <w:r>
        <w:t>All costs of the arrangement are met by the employer, such as the cost of advice to the Fund, ongoing monitoring of the arrangement and correspondence on any ongoing contribution and security requirements.</w:t>
      </w:r>
    </w:p>
    <w:p w14:paraId="795C8BC8" w14:textId="77777777" w:rsidR="00F93097" w:rsidRPr="00E40D02" w:rsidRDefault="00F93097" w:rsidP="00F93097">
      <w:pPr>
        <w:pStyle w:val="BulletHymans"/>
      </w:pPr>
      <w:r w:rsidRPr="00E40D02">
        <w:t xml:space="preserve">A </w:t>
      </w:r>
      <w:r>
        <w:t>DDA</w:t>
      </w:r>
      <w:r w:rsidRPr="00E40D02">
        <w:t xml:space="preserve"> will normally terminate on the first date on which one of the following events occurs:</w:t>
      </w:r>
    </w:p>
    <w:p w14:paraId="6E6B6DBE" w14:textId="77777777" w:rsidR="00F93097" w:rsidRPr="00E40D02" w:rsidRDefault="00F93097" w:rsidP="007E0157">
      <w:pPr>
        <w:pStyle w:val="BulletHymans"/>
        <w:numPr>
          <w:ilvl w:val="0"/>
          <w:numId w:val="48"/>
        </w:numPr>
      </w:pPr>
      <w:r>
        <w:t>T</w:t>
      </w:r>
      <w:r w:rsidRPr="00E40D02">
        <w:t xml:space="preserve">he </w:t>
      </w:r>
      <w:r>
        <w:t>employer</w:t>
      </w:r>
      <w:r w:rsidRPr="00E40D02">
        <w:t xml:space="preserve"> enrols new active </w:t>
      </w:r>
      <w:r>
        <w:t>Fund</w:t>
      </w:r>
      <w:r w:rsidRPr="00E40D02">
        <w:t xml:space="preserve"> members</w:t>
      </w:r>
      <w:r>
        <w:t>.</w:t>
      </w:r>
      <w:r w:rsidRPr="00E40D02">
        <w:t xml:space="preserve"> </w:t>
      </w:r>
    </w:p>
    <w:p w14:paraId="2A5DF60E" w14:textId="77777777" w:rsidR="00F93097" w:rsidRPr="00E40D02" w:rsidRDefault="00F93097" w:rsidP="007E0157">
      <w:pPr>
        <w:pStyle w:val="BulletHymans"/>
        <w:numPr>
          <w:ilvl w:val="0"/>
          <w:numId w:val="48"/>
        </w:numPr>
      </w:pPr>
      <w:r>
        <w:t>T</w:t>
      </w:r>
      <w:r w:rsidRPr="00E40D02">
        <w:t xml:space="preserve">he period specified, or as varied, under the </w:t>
      </w:r>
      <w:r>
        <w:t>DDA</w:t>
      </w:r>
      <w:r w:rsidRPr="00E40D02">
        <w:t xml:space="preserve"> elapses</w:t>
      </w:r>
      <w:r>
        <w:t>.</w:t>
      </w:r>
      <w:r w:rsidRPr="00E40D02">
        <w:t xml:space="preserve"> </w:t>
      </w:r>
    </w:p>
    <w:p w14:paraId="71B53D71" w14:textId="77777777" w:rsidR="00F93097" w:rsidRPr="00E40D02" w:rsidRDefault="00F93097" w:rsidP="007E0157">
      <w:pPr>
        <w:pStyle w:val="BulletHymans"/>
        <w:numPr>
          <w:ilvl w:val="0"/>
          <w:numId w:val="48"/>
        </w:numPr>
      </w:pPr>
      <w:r>
        <w:t>T</w:t>
      </w:r>
      <w:r w:rsidRPr="00E40D02">
        <w:t xml:space="preserve">he take-over, amalgamation, insolvency, winding up or liquidation of the </w:t>
      </w:r>
      <w:r>
        <w:t>employer.</w:t>
      </w:r>
    </w:p>
    <w:p w14:paraId="51030765" w14:textId="77777777" w:rsidR="00F93097" w:rsidRPr="00E40D02" w:rsidRDefault="00F93097" w:rsidP="007E0157">
      <w:pPr>
        <w:pStyle w:val="BulletHymans"/>
        <w:numPr>
          <w:ilvl w:val="0"/>
          <w:numId w:val="48"/>
        </w:numPr>
      </w:pPr>
      <w:r>
        <w:t>T</w:t>
      </w:r>
      <w:r w:rsidRPr="00E40D02">
        <w:t xml:space="preserve">he </w:t>
      </w:r>
      <w:r>
        <w:t>Administering Authority</w:t>
      </w:r>
      <w:r w:rsidRPr="00E40D02">
        <w:t xml:space="preserve"> serves a notice on the </w:t>
      </w:r>
      <w:r>
        <w:t>employer</w:t>
      </w:r>
      <w:r w:rsidRPr="00E40D02">
        <w:t xml:space="preserve"> that the </w:t>
      </w:r>
      <w:r>
        <w:t>Administering Authority</w:t>
      </w:r>
      <w:r w:rsidRPr="00E40D02">
        <w:t xml:space="preserve"> is reasonably satisfied that the </w:t>
      </w:r>
      <w:r>
        <w:t xml:space="preserve">employer’s </w:t>
      </w:r>
      <w:r w:rsidRPr="00E40D02">
        <w:t xml:space="preserve">ability to meet the contributions payable under the </w:t>
      </w:r>
      <w:r>
        <w:t xml:space="preserve">DDA </w:t>
      </w:r>
      <w:r w:rsidRPr="00E40D02">
        <w:t>has weakened materially or is likely to weaken materially in the next 12 months</w:t>
      </w:r>
      <w:r>
        <w:t>.</w:t>
      </w:r>
    </w:p>
    <w:p w14:paraId="7C3F8488" w14:textId="77777777" w:rsidR="00F93097" w:rsidRPr="00F95AC2" w:rsidRDefault="00F93097" w:rsidP="007E0157">
      <w:pPr>
        <w:pStyle w:val="BulletHymans"/>
        <w:numPr>
          <w:ilvl w:val="0"/>
          <w:numId w:val="48"/>
        </w:numPr>
      </w:pPr>
      <w:r>
        <w:rPr>
          <w:rStyle w:val="BodyTextGreyChar"/>
        </w:rPr>
        <w:t>T</w:t>
      </w:r>
      <w:r w:rsidRPr="0044769C">
        <w:rPr>
          <w:rStyle w:val="BodyTextGreyChar"/>
        </w:rPr>
        <w:t xml:space="preserve">he </w:t>
      </w:r>
      <w:r>
        <w:rPr>
          <w:rStyle w:val="BodyTextGreyChar"/>
        </w:rPr>
        <w:t>Fund</w:t>
      </w:r>
      <w:r w:rsidRPr="0044769C">
        <w:rPr>
          <w:rStyle w:val="BodyTextGreyChar"/>
        </w:rPr>
        <w:t xml:space="preserve"> actuary assesses that the employer has paid sufficient secondary contributions to cover all (or almost all) of the exit payment due if the employer becomes an </w:t>
      </w:r>
      <w:proofErr w:type="spellStart"/>
      <w:r>
        <w:rPr>
          <w:rStyle w:val="BodyTextGreyChar"/>
        </w:rPr>
        <w:t>e</w:t>
      </w:r>
      <w:r w:rsidRPr="0044769C">
        <w:rPr>
          <w:rStyle w:val="BodyTextGreyChar"/>
        </w:rPr>
        <w:t>xiting</w:t>
      </w:r>
      <w:proofErr w:type="spellEnd"/>
      <w:r w:rsidRPr="0044769C">
        <w:rPr>
          <w:rStyle w:val="BodyTextGreyChar"/>
        </w:rPr>
        <w:t xml:space="preserve"> </w:t>
      </w:r>
      <w:r>
        <w:rPr>
          <w:rStyle w:val="BodyTextGreyChar"/>
        </w:rPr>
        <w:t>e</w:t>
      </w:r>
      <w:r w:rsidRPr="0044769C">
        <w:rPr>
          <w:rStyle w:val="BodyTextGreyChar"/>
        </w:rPr>
        <w:t xml:space="preserve">mployer on the calculation date (i.e. employer is now largely fully </w:t>
      </w:r>
      <w:r>
        <w:rPr>
          <w:rStyle w:val="BodyTextGreyChar"/>
        </w:rPr>
        <w:t>Fund</w:t>
      </w:r>
      <w:r w:rsidRPr="0044769C">
        <w:rPr>
          <w:rStyle w:val="BodyTextGreyChar"/>
        </w:rPr>
        <w:t xml:space="preserve">ed on their </w:t>
      </w:r>
      <w:r>
        <w:rPr>
          <w:rStyle w:val="BodyTextGreyChar"/>
        </w:rPr>
        <w:t>exit basis</w:t>
      </w:r>
      <w:r w:rsidRPr="00F95AC2">
        <w:t>)</w:t>
      </w:r>
      <w:r>
        <w:t>.</w:t>
      </w:r>
    </w:p>
    <w:p w14:paraId="2BCC4341" w14:textId="77777777" w:rsidR="00F93097" w:rsidRPr="00F95AC2" w:rsidRDefault="00F93097" w:rsidP="007E0157">
      <w:pPr>
        <w:pStyle w:val="BulletHymans"/>
        <w:numPr>
          <w:ilvl w:val="0"/>
          <w:numId w:val="48"/>
        </w:numPr>
      </w:pPr>
      <w:r>
        <w:t>T</w:t>
      </w:r>
      <w:r w:rsidRPr="00F95AC2">
        <w:t xml:space="preserve">he </w:t>
      </w:r>
      <w:r>
        <w:t>Fund</w:t>
      </w:r>
      <w:r w:rsidRPr="00F95AC2">
        <w:t xml:space="preserve"> actuary assesses that the </w:t>
      </w:r>
      <w:r>
        <w:t xml:space="preserve">employer’s </w:t>
      </w:r>
      <w:r w:rsidRPr="00F95AC2">
        <w:t xml:space="preserve">value of liabilities has fallen below an agreed </w:t>
      </w:r>
      <w:r w:rsidRPr="00F95AC2">
        <w:rPr>
          <w:i/>
        </w:rPr>
        <w:t>de minimis</w:t>
      </w:r>
      <w:r w:rsidRPr="00F95AC2">
        <w:t xml:space="preserve"> level</w:t>
      </w:r>
      <w:r>
        <w:t xml:space="preserve"> and </w:t>
      </w:r>
      <w:r w:rsidRPr="00F95AC2">
        <w:t xml:space="preserve">the employer becomes an </w:t>
      </w:r>
      <w:proofErr w:type="spellStart"/>
      <w:r>
        <w:t>e</w:t>
      </w:r>
      <w:r w:rsidRPr="00F95AC2">
        <w:t>xiting</w:t>
      </w:r>
      <w:proofErr w:type="spellEnd"/>
      <w:r w:rsidRPr="00F95AC2">
        <w:t xml:space="preserve"> </w:t>
      </w:r>
      <w:r>
        <w:t>e</w:t>
      </w:r>
      <w:r w:rsidRPr="00F95AC2">
        <w:t>mployer on the calculation dat</w:t>
      </w:r>
      <w:r>
        <w:t>e.</w:t>
      </w:r>
    </w:p>
    <w:p w14:paraId="563CD32D" w14:textId="77777777" w:rsidR="00F93097" w:rsidRPr="00E40D02" w:rsidRDefault="00F93097" w:rsidP="007E0157">
      <w:pPr>
        <w:pStyle w:val="BulletHymans"/>
        <w:numPr>
          <w:ilvl w:val="0"/>
          <w:numId w:val="48"/>
        </w:numPr>
      </w:pPr>
      <w:r w:rsidRPr="00E40D02">
        <w:t xml:space="preserve">The </w:t>
      </w:r>
      <w:r>
        <w:t>employer</w:t>
      </w:r>
      <w:r w:rsidRPr="00E40D02">
        <w:t xml:space="preserve"> requests early termination of the agreement and settles the exit payment in full as calculated by the </w:t>
      </w:r>
      <w:r>
        <w:t>Fund</w:t>
      </w:r>
      <w:r w:rsidRPr="00E40D02">
        <w:t xml:space="preserve"> actuary on the calculation date (i.e. the </w:t>
      </w:r>
      <w:r>
        <w:t>employer</w:t>
      </w:r>
      <w:r w:rsidRPr="00E40D02">
        <w:t xml:space="preserve"> pays their outstanding cessation debt on their cessation basis).</w:t>
      </w:r>
    </w:p>
    <w:p w14:paraId="767E58E2" w14:textId="77777777" w:rsidR="00F93097" w:rsidRDefault="00F93097" w:rsidP="00F93097">
      <w:pPr>
        <w:pStyle w:val="BodyTextGrey"/>
      </w:pPr>
      <w:r w:rsidRPr="00E40D02">
        <w:t xml:space="preserve">On the termination of a </w:t>
      </w:r>
      <w:r>
        <w:t>DDA</w:t>
      </w:r>
      <w:r w:rsidRPr="00E40D02">
        <w:t xml:space="preserve">, the </w:t>
      </w:r>
      <w:r>
        <w:t>employer</w:t>
      </w:r>
      <w:r w:rsidRPr="00E40D02">
        <w:t xml:space="preserve"> will become an </w:t>
      </w:r>
      <w:proofErr w:type="spellStart"/>
      <w:r>
        <w:t>e</w:t>
      </w:r>
      <w:r w:rsidRPr="00E40D02">
        <w:t>xiting</w:t>
      </w:r>
      <w:proofErr w:type="spellEnd"/>
      <w:r w:rsidRPr="00E40D02">
        <w:t xml:space="preserve"> </w:t>
      </w:r>
      <w:proofErr w:type="gramStart"/>
      <w:r>
        <w:t>e</w:t>
      </w:r>
      <w:r w:rsidRPr="00E40D02">
        <w:t>mployer</w:t>
      </w:r>
      <w:proofErr w:type="gramEnd"/>
      <w:r w:rsidRPr="00E40D02">
        <w:t xml:space="preserve"> and a cessation valuation will be completed in line with this </w:t>
      </w:r>
      <w:r>
        <w:t>policy</w:t>
      </w:r>
      <w:r w:rsidRPr="00E40D02">
        <w:t>.</w:t>
      </w:r>
      <w:bookmarkStart w:id="123" w:name="_Hlk44453963"/>
    </w:p>
    <w:p w14:paraId="4E440325" w14:textId="77777777" w:rsidR="00432B59" w:rsidRDefault="00432B59" w:rsidP="00F93097">
      <w:pPr>
        <w:pStyle w:val="BodyTextGrey"/>
      </w:pPr>
    </w:p>
    <w:p w14:paraId="5F434CF7" w14:textId="77777777" w:rsidR="00432B59" w:rsidRPr="00294E52" w:rsidRDefault="00432B59" w:rsidP="00432B59">
      <w:pPr>
        <w:pStyle w:val="Heading4"/>
      </w:pPr>
      <w:r w:rsidRPr="009718A7">
        <w:t xml:space="preserve">G5.3 </w:t>
      </w:r>
      <w:r w:rsidRPr="00294E52">
        <w:t>Exit credits</w:t>
      </w:r>
    </w:p>
    <w:p w14:paraId="33EC8170" w14:textId="77777777" w:rsidR="00432B59" w:rsidRPr="00294E52" w:rsidRDefault="00432B59" w:rsidP="00432B59">
      <w:pPr>
        <w:spacing w:before="20" w:after="140" w:line="280" w:lineRule="exact"/>
        <w:textAlignment w:val="auto"/>
        <w:rPr>
          <w:rFonts w:cs="Arial"/>
          <w:iCs/>
          <w:color w:val="4B4B4B"/>
          <w:sz w:val="20"/>
          <w:szCs w:val="20"/>
          <w:lang w:eastAsia="en-US"/>
        </w:rPr>
      </w:pPr>
      <w:r w:rsidRPr="00294E52">
        <w:rPr>
          <w:rFonts w:cs="Arial"/>
          <w:iCs/>
          <w:color w:val="4B4B4B"/>
          <w:sz w:val="20"/>
          <w:szCs w:val="20"/>
          <w:lang w:eastAsia="en-US"/>
        </w:rPr>
        <w:t>The administering authority’s entitlement to determine whether exit credits are payable in accordance with these provisions shall apply to all employers ceasing their participation in the fund after 14 May 2018.</w:t>
      </w:r>
    </w:p>
    <w:p w14:paraId="132E7A22" w14:textId="77777777" w:rsidR="00432B59" w:rsidRPr="00294E52" w:rsidRDefault="00432B59" w:rsidP="00432B59">
      <w:pPr>
        <w:spacing w:before="20" w:after="140" w:line="280" w:lineRule="exact"/>
        <w:textAlignment w:val="auto"/>
        <w:rPr>
          <w:rFonts w:cs="Arial"/>
          <w:iCs/>
          <w:color w:val="4B4B4B"/>
          <w:sz w:val="20"/>
          <w:szCs w:val="20"/>
          <w:lang w:eastAsia="en-US"/>
        </w:rPr>
      </w:pPr>
      <w:r w:rsidRPr="00294E52">
        <w:rPr>
          <w:rFonts w:cs="Arial"/>
          <w:iCs/>
          <w:color w:val="4B4B4B"/>
          <w:sz w:val="20"/>
          <w:szCs w:val="20"/>
          <w:lang w:eastAsia="en-US"/>
        </w:rPr>
        <w:t xml:space="preserve">The results of an indicative valuation carried out under Regulation 61 (2A) will not be used for the purposes of determining an exit credit.  The surplus of assets </w:t>
      </w:r>
      <w:proofErr w:type="gramStart"/>
      <w:r w:rsidRPr="00294E52">
        <w:rPr>
          <w:rFonts w:cs="Arial"/>
          <w:iCs/>
          <w:color w:val="4B4B4B"/>
          <w:sz w:val="20"/>
          <w:szCs w:val="20"/>
          <w:lang w:eastAsia="en-US"/>
        </w:rPr>
        <w:t>in excess of</w:t>
      </w:r>
      <w:proofErr w:type="gramEnd"/>
      <w:r w:rsidRPr="00294E52">
        <w:rPr>
          <w:rFonts w:cs="Arial"/>
          <w:iCs/>
          <w:color w:val="4B4B4B"/>
          <w:sz w:val="20"/>
          <w:szCs w:val="20"/>
          <w:lang w:eastAsia="en-US"/>
        </w:rPr>
        <w:t xml:space="preserve"> liabilities will be assessed via a cessation valuation carried out under Regulation 61 (2). </w:t>
      </w:r>
    </w:p>
    <w:p w14:paraId="79103906" w14:textId="77777777" w:rsidR="00432B59" w:rsidRPr="00294E52" w:rsidRDefault="00432B59" w:rsidP="00432B59">
      <w:pPr>
        <w:spacing w:before="20" w:after="140" w:line="280" w:lineRule="exact"/>
        <w:textAlignment w:val="auto"/>
        <w:rPr>
          <w:rFonts w:cs="Arial"/>
          <w:iCs/>
          <w:color w:val="4B4B4B"/>
          <w:sz w:val="20"/>
          <w:szCs w:val="20"/>
          <w:lang w:eastAsia="en-US"/>
        </w:rPr>
      </w:pPr>
      <w:r w:rsidRPr="00294E52">
        <w:rPr>
          <w:rFonts w:cs="Arial"/>
          <w:iCs/>
          <w:color w:val="4B4B4B"/>
          <w:sz w:val="20"/>
          <w:szCs w:val="20"/>
          <w:lang w:eastAsia="en-US"/>
        </w:rPr>
        <w:t xml:space="preserve">The administering authority may determine the amount of exit credit payable to be zero, however, in </w:t>
      </w:r>
      <w:proofErr w:type="gramStart"/>
      <w:r w:rsidRPr="00294E52">
        <w:rPr>
          <w:rFonts w:cs="Arial"/>
          <w:iCs/>
          <w:color w:val="4B4B4B"/>
          <w:sz w:val="20"/>
          <w:szCs w:val="20"/>
          <w:lang w:eastAsia="en-US"/>
        </w:rPr>
        <w:t>making a determination</w:t>
      </w:r>
      <w:proofErr w:type="gramEnd"/>
      <w:r w:rsidRPr="00294E52">
        <w:rPr>
          <w:rFonts w:cs="Arial"/>
          <w:iCs/>
          <w:color w:val="4B4B4B"/>
          <w:sz w:val="20"/>
          <w:szCs w:val="20"/>
          <w:lang w:eastAsia="en-US"/>
        </w:rPr>
        <w:t xml:space="preserve">, the Administering Authority will </w:t>
      </w:r>
      <w:proofErr w:type="gramStart"/>
      <w:r w:rsidRPr="00294E52">
        <w:rPr>
          <w:rFonts w:cs="Arial"/>
          <w:iCs/>
          <w:color w:val="4B4B4B"/>
          <w:sz w:val="20"/>
          <w:szCs w:val="20"/>
          <w:lang w:eastAsia="en-US"/>
        </w:rPr>
        <w:t>take into account</w:t>
      </w:r>
      <w:proofErr w:type="gramEnd"/>
      <w:r w:rsidRPr="00294E52">
        <w:rPr>
          <w:rFonts w:cs="Arial"/>
          <w:iCs/>
          <w:color w:val="4B4B4B"/>
          <w:sz w:val="20"/>
          <w:szCs w:val="20"/>
          <w:lang w:eastAsia="en-US"/>
        </w:rPr>
        <w:t xml:space="preserve"> the following </w:t>
      </w:r>
      <w:proofErr w:type="gramStart"/>
      <w:r w:rsidRPr="00294E52">
        <w:rPr>
          <w:rFonts w:cs="Arial"/>
          <w:iCs/>
          <w:color w:val="4B4B4B"/>
          <w:sz w:val="20"/>
          <w:szCs w:val="20"/>
          <w:lang w:eastAsia="en-US"/>
        </w:rPr>
        <w:t>factors;</w:t>
      </w:r>
      <w:proofErr w:type="gramEnd"/>
      <w:r w:rsidRPr="00294E52">
        <w:rPr>
          <w:rFonts w:cs="Arial"/>
          <w:iCs/>
          <w:color w:val="4B4B4B"/>
          <w:sz w:val="20"/>
          <w:szCs w:val="20"/>
          <w:lang w:eastAsia="en-US"/>
        </w:rPr>
        <w:t> </w:t>
      </w:r>
    </w:p>
    <w:p w14:paraId="7E6890BD" w14:textId="77777777" w:rsidR="00432B59" w:rsidRPr="00294E52" w:rsidRDefault="00432B59" w:rsidP="00432B59">
      <w:pPr>
        <w:numPr>
          <w:ilvl w:val="0"/>
          <w:numId w:val="44"/>
        </w:numPr>
        <w:spacing w:before="20" w:after="140" w:line="280" w:lineRule="exact"/>
        <w:textAlignment w:val="auto"/>
        <w:rPr>
          <w:rFonts w:cs="Arial"/>
          <w:iCs/>
          <w:color w:val="4B4B4B"/>
          <w:sz w:val="20"/>
          <w:szCs w:val="20"/>
          <w:lang w:eastAsia="en-US"/>
        </w:rPr>
      </w:pPr>
      <w:r w:rsidRPr="00294E52">
        <w:rPr>
          <w:rFonts w:cs="Arial"/>
          <w:iCs/>
          <w:color w:val="4B4B4B"/>
          <w:sz w:val="20"/>
          <w:szCs w:val="20"/>
          <w:lang w:eastAsia="en-US"/>
        </w:rPr>
        <w:t>the extent to which there is an excess of assets in the fund relating to that employer over the liabilities, </w:t>
      </w:r>
    </w:p>
    <w:p w14:paraId="0C85A2B7" w14:textId="77777777" w:rsidR="00432B59" w:rsidRPr="00294E52" w:rsidRDefault="00432B59" w:rsidP="00432B59">
      <w:pPr>
        <w:numPr>
          <w:ilvl w:val="0"/>
          <w:numId w:val="44"/>
        </w:numPr>
        <w:spacing w:before="20" w:after="140" w:line="280" w:lineRule="exact"/>
        <w:textAlignment w:val="auto"/>
        <w:rPr>
          <w:rFonts w:cs="Arial"/>
          <w:iCs/>
          <w:color w:val="4B4B4B"/>
          <w:sz w:val="20"/>
          <w:szCs w:val="20"/>
          <w:lang w:eastAsia="en-US"/>
        </w:rPr>
      </w:pPr>
      <w:r w:rsidRPr="00294E52">
        <w:rPr>
          <w:rFonts w:cs="Arial"/>
          <w:iCs/>
          <w:color w:val="4B4B4B"/>
          <w:sz w:val="20"/>
          <w:szCs w:val="20"/>
          <w:lang w:eastAsia="en-US"/>
        </w:rPr>
        <w:t>the proportion of this excess of assets which has arisen because of the value of the employer’s contributions, </w:t>
      </w:r>
    </w:p>
    <w:p w14:paraId="7DC00A4A" w14:textId="77777777" w:rsidR="00432B59" w:rsidRPr="00294E52" w:rsidRDefault="00432B59" w:rsidP="00432B59">
      <w:pPr>
        <w:numPr>
          <w:ilvl w:val="0"/>
          <w:numId w:val="44"/>
        </w:numPr>
        <w:spacing w:before="20" w:after="140" w:line="280" w:lineRule="exact"/>
        <w:textAlignment w:val="auto"/>
        <w:rPr>
          <w:rFonts w:cs="Arial"/>
          <w:iCs/>
          <w:color w:val="4B4B4B"/>
          <w:sz w:val="20"/>
          <w:szCs w:val="20"/>
          <w:lang w:eastAsia="en-US"/>
        </w:rPr>
      </w:pPr>
      <w:r w:rsidRPr="00294E52">
        <w:rPr>
          <w:rFonts w:cs="Arial"/>
          <w:iCs/>
          <w:color w:val="4B4B4B"/>
          <w:sz w:val="20"/>
          <w:szCs w:val="20"/>
          <w:lang w:eastAsia="en-US"/>
        </w:rPr>
        <w:t xml:space="preserve">any representations to the administering authority made by the exiting employer and, where that employer participated in the scheme by virtue of an admission agreement, </w:t>
      </w:r>
      <w:proofErr w:type="spellStart"/>
      <w:r w:rsidRPr="00294E52">
        <w:rPr>
          <w:rFonts w:cs="Arial"/>
          <w:iCs/>
          <w:color w:val="4B4B4B"/>
          <w:sz w:val="20"/>
          <w:szCs w:val="20"/>
          <w:lang w:eastAsia="en-US"/>
        </w:rPr>
        <w:t>any body</w:t>
      </w:r>
      <w:proofErr w:type="spellEnd"/>
      <w:r w:rsidRPr="00294E52">
        <w:rPr>
          <w:rFonts w:cs="Arial"/>
          <w:iCs/>
          <w:color w:val="4B4B4B"/>
          <w:sz w:val="20"/>
          <w:szCs w:val="20"/>
          <w:lang w:eastAsia="en-US"/>
        </w:rPr>
        <w:t xml:space="preserve"> listed in paragraphs 8(a) to (d)(ii) of Part 2 of schedule 2 of the Regulations, </w:t>
      </w:r>
    </w:p>
    <w:p w14:paraId="4B57A17B" w14:textId="77777777" w:rsidR="00432B59" w:rsidRPr="00294E52" w:rsidRDefault="00432B59" w:rsidP="00432B59">
      <w:pPr>
        <w:numPr>
          <w:ilvl w:val="0"/>
          <w:numId w:val="44"/>
        </w:numPr>
        <w:spacing w:before="20" w:after="140" w:line="280" w:lineRule="exact"/>
        <w:textAlignment w:val="auto"/>
        <w:rPr>
          <w:rFonts w:cs="Arial"/>
          <w:iCs/>
          <w:color w:val="4B4B4B"/>
          <w:sz w:val="20"/>
          <w:szCs w:val="20"/>
          <w:lang w:eastAsia="en-US"/>
        </w:rPr>
      </w:pPr>
      <w:r w:rsidRPr="00294E52">
        <w:rPr>
          <w:rFonts w:cs="Arial"/>
          <w:iCs/>
          <w:color w:val="4B4B4B"/>
          <w:sz w:val="20"/>
          <w:szCs w:val="20"/>
          <w:lang w:eastAsia="en-US"/>
        </w:rPr>
        <w:t xml:space="preserve">Any guidance or statement specified under Regulation 56(4), or any other guidance relating to the preparation of a funding strategy statement issued or endorsed by the Scottish </w:t>
      </w:r>
      <w:proofErr w:type="gramStart"/>
      <w:r w:rsidRPr="00294E52">
        <w:rPr>
          <w:rFonts w:cs="Arial"/>
          <w:iCs/>
          <w:color w:val="4B4B4B"/>
          <w:sz w:val="20"/>
          <w:szCs w:val="20"/>
          <w:lang w:eastAsia="en-US"/>
        </w:rPr>
        <w:t>Ministers;</w:t>
      </w:r>
      <w:proofErr w:type="gramEnd"/>
    </w:p>
    <w:p w14:paraId="7BDADB66" w14:textId="77777777" w:rsidR="00432B59" w:rsidRPr="00294E52" w:rsidRDefault="00432B59" w:rsidP="00432B59">
      <w:pPr>
        <w:numPr>
          <w:ilvl w:val="0"/>
          <w:numId w:val="44"/>
        </w:numPr>
        <w:spacing w:before="20" w:after="140" w:line="280" w:lineRule="exact"/>
        <w:textAlignment w:val="auto"/>
        <w:rPr>
          <w:rFonts w:cs="Arial"/>
          <w:iCs/>
          <w:color w:val="4B4B4B"/>
          <w:sz w:val="20"/>
          <w:szCs w:val="20"/>
          <w:lang w:eastAsia="en-US"/>
        </w:rPr>
      </w:pPr>
      <w:r w:rsidRPr="00294E52">
        <w:rPr>
          <w:rFonts w:cs="Arial"/>
          <w:iCs/>
          <w:color w:val="4B4B4B"/>
          <w:sz w:val="20"/>
          <w:szCs w:val="20"/>
          <w:lang w:eastAsia="en-US"/>
        </w:rPr>
        <w:t>Any other relevant factors </w:t>
      </w:r>
    </w:p>
    <w:p w14:paraId="161FD197" w14:textId="77777777" w:rsidR="00432B59" w:rsidRPr="009718A7" w:rsidRDefault="00432B59" w:rsidP="00432B59">
      <w:pPr>
        <w:spacing w:before="20" w:after="200" w:line="280" w:lineRule="atLeast"/>
        <w:textAlignment w:val="auto"/>
        <w:rPr>
          <w:rFonts w:cs="Arial"/>
          <w:b/>
          <w:bCs/>
          <w:iCs/>
          <w:color w:val="4B4B4B"/>
          <w:lang w:eastAsia="en-US"/>
        </w:rPr>
      </w:pPr>
      <w:r w:rsidRPr="00294E52">
        <w:rPr>
          <w:rFonts w:cs="Arial"/>
          <w:iCs/>
          <w:color w:val="4B4B4B"/>
          <w:sz w:val="20"/>
          <w:szCs w:val="20"/>
          <w:lang w:eastAsia="en-US"/>
        </w:rPr>
        <w:t xml:space="preserve"> </w:t>
      </w:r>
      <w:r w:rsidRPr="009718A7">
        <w:rPr>
          <w:rFonts w:cs="Arial"/>
          <w:b/>
          <w:bCs/>
          <w:iCs/>
          <w:color w:val="4B4B4B"/>
          <w:lang w:eastAsia="en-US"/>
        </w:rPr>
        <w:t>Admitted bodies</w:t>
      </w:r>
    </w:p>
    <w:p w14:paraId="5DB8594F" w14:textId="77777777" w:rsidR="00432B59" w:rsidRPr="00F068AF" w:rsidRDefault="00432B59" w:rsidP="00432B59">
      <w:pPr>
        <w:pStyle w:val="BodyTextGrey"/>
        <w:numPr>
          <w:ilvl w:val="0"/>
          <w:numId w:val="46"/>
        </w:numPr>
        <w:spacing w:before="20" w:after="200" w:line="280" w:lineRule="atLeast"/>
      </w:pPr>
      <w:r w:rsidRPr="00294E52">
        <w:t>Where an exit credit is appropriate, this will normally be determined by measuring the value of contributions paid by the employer during their participation, and the respective investment returns earned. The total exit credit will be no greater than this value of contributions (with investment returns). The Administering Authority will also consider any other ‘relevant factors’ and adjust the exit credit payment accordingly.</w:t>
      </w:r>
      <w:r w:rsidRPr="00F068AF">
        <w:t xml:space="preserve"> The Fund will make an exit credit payment in line with any contractual or risk sharing agreements which specifically covers the ownership of exit credits/cessation surpluses or if the admission body and letting authority have agreed any alternative approach (which is consistent with the Regulations and any other legal obligations). This information, which will include which party is responsible for which funding risk, must be presented to the fund in a clear and unambiguous document with the agreement of both the admission body and the letting authority/awarding authority/ceding employer and within one month (or such longer time as may be agreed with the administering authority) of the admission body ceasing participation in the Fund.</w:t>
      </w:r>
    </w:p>
    <w:p w14:paraId="0447022C" w14:textId="77777777" w:rsidR="00432B59" w:rsidRPr="00F068AF" w:rsidRDefault="00432B59" w:rsidP="00432B59">
      <w:pPr>
        <w:numPr>
          <w:ilvl w:val="0"/>
          <w:numId w:val="46"/>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In the absence of this information or if there is any dispute from either party with regards interpretation of contractual or risk sharing agreements as outlined in ii), the Fund will withhold payment of the exit credit until such disputes are resolved and the information is provided to the administering authority. </w:t>
      </w:r>
    </w:p>
    <w:p w14:paraId="332AF6A0" w14:textId="77777777" w:rsidR="00432B59" w:rsidRPr="00F068AF" w:rsidRDefault="00432B59" w:rsidP="00432B59">
      <w:pPr>
        <w:numPr>
          <w:ilvl w:val="0"/>
          <w:numId w:val="46"/>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Where a guarantor arrangement is in place, but no formal risk-sharing arrangement exists, the fund will consider how the approach to setting contribution rates payable by the admission body during its participation in the fund reflects which party is responsible for funding risks. This decision will inform the determination of the value of any exit credit payment.</w:t>
      </w:r>
    </w:p>
    <w:p w14:paraId="12442B26" w14:textId="77777777" w:rsidR="00432B59" w:rsidRPr="00F068AF" w:rsidRDefault="00432B59" w:rsidP="00432B59">
      <w:pPr>
        <w:numPr>
          <w:ilvl w:val="0"/>
          <w:numId w:val="46"/>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 If the admission agreement ends early, the fund will consider the reason for the early termination, and whether that should have any relevance on the fund’s determination of the value of any exit credit payment. In these cases, the fund will consider the differential between employers’ contributions paid (including investment returns earned on these monies) and the size of any cessation surplus. </w:t>
      </w:r>
    </w:p>
    <w:p w14:paraId="5C380E2B" w14:textId="77777777" w:rsidR="00432B59" w:rsidRPr="00F068AF" w:rsidRDefault="00432B59" w:rsidP="00432B59">
      <w:pPr>
        <w:numPr>
          <w:ilvl w:val="0"/>
          <w:numId w:val="46"/>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If an admitted body leaves on a </w:t>
      </w:r>
      <w:proofErr w:type="gramStart"/>
      <w:r w:rsidRPr="00F068AF">
        <w:rPr>
          <w:rFonts w:cs="Arial"/>
          <w:iCs/>
          <w:color w:val="4B4B4B"/>
          <w:sz w:val="20"/>
          <w:szCs w:val="20"/>
          <w:lang w:eastAsia="en-US"/>
        </w:rPr>
        <w:t>risk based</w:t>
      </w:r>
      <w:proofErr w:type="gramEnd"/>
      <w:r w:rsidRPr="00F068AF">
        <w:rPr>
          <w:rFonts w:cs="Arial"/>
          <w:iCs/>
          <w:color w:val="4B4B4B"/>
          <w:sz w:val="20"/>
          <w:szCs w:val="20"/>
          <w:lang w:eastAsia="en-US"/>
        </w:rPr>
        <w:t xml:space="preserve"> cessation basis (because no guarantor is in place), then any exit credit will normally be paid in full to the employer.</w:t>
      </w:r>
    </w:p>
    <w:p w14:paraId="6D847EC1" w14:textId="77777777" w:rsidR="00432B59" w:rsidRPr="00F068AF" w:rsidRDefault="00432B59" w:rsidP="00432B59">
      <w:pPr>
        <w:numPr>
          <w:ilvl w:val="0"/>
          <w:numId w:val="46"/>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The decision of the fund is final in interpreting how any arrangement described under ii), iv), v), vi) and vii) applies to the value of an exit credit payment. </w:t>
      </w:r>
    </w:p>
    <w:p w14:paraId="0EFFAAFA" w14:textId="77777777" w:rsidR="00432B59" w:rsidRPr="009718A7" w:rsidRDefault="00432B59" w:rsidP="00432B59">
      <w:pPr>
        <w:spacing w:before="20" w:after="200" w:line="280" w:lineRule="atLeast"/>
        <w:textAlignment w:val="auto"/>
        <w:rPr>
          <w:rFonts w:cs="Arial"/>
          <w:b/>
          <w:bCs/>
          <w:iCs/>
          <w:color w:val="4B4B4B"/>
          <w:lang w:eastAsia="en-US"/>
        </w:rPr>
      </w:pPr>
      <w:r w:rsidRPr="009718A7">
        <w:rPr>
          <w:rFonts w:cs="Arial"/>
          <w:b/>
          <w:bCs/>
          <w:iCs/>
          <w:color w:val="4B4B4B"/>
          <w:lang w:eastAsia="en-US"/>
        </w:rPr>
        <w:t>Scheduled bodies and designating bodies</w:t>
      </w:r>
    </w:p>
    <w:p w14:paraId="014EEBDA" w14:textId="77777777" w:rsidR="00432B59" w:rsidRPr="00F068AF" w:rsidRDefault="00432B59" w:rsidP="00432B59">
      <w:pPr>
        <w:numPr>
          <w:ilvl w:val="0"/>
          <w:numId w:val="47"/>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Where a guarantor arrangement is in place, but no formal risk-sharing arrangement exists, the Fund will consider how the approach to setting contribution rates payable by the employer during its participation in the fund reflects which party is responsible for funding risks. This decision will inform the determination of the value of any exit credit payment. </w:t>
      </w:r>
    </w:p>
    <w:p w14:paraId="4BBAB20F" w14:textId="77777777" w:rsidR="00432B59" w:rsidRPr="00F068AF" w:rsidRDefault="00432B59" w:rsidP="00432B59">
      <w:pPr>
        <w:numPr>
          <w:ilvl w:val="0"/>
          <w:numId w:val="47"/>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Where no formal guarantor or risk-sharing arrangement exists, the Fund will consider how the approach to setting contribution rates payable by the employer during its participation in the fund reflects the extent to which it is responsible for funding risks. This decision will inform the determination of the value of any exit credit payment.</w:t>
      </w:r>
    </w:p>
    <w:p w14:paraId="544DB534" w14:textId="77777777" w:rsidR="00432B59" w:rsidRPr="00F068AF" w:rsidRDefault="00432B59" w:rsidP="00432B59">
      <w:pPr>
        <w:numPr>
          <w:ilvl w:val="0"/>
          <w:numId w:val="47"/>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The decision of the Fund is final in interpreting how any arrangement described under </w:t>
      </w:r>
      <w:proofErr w:type="spellStart"/>
      <w:r w:rsidRPr="00F068AF">
        <w:rPr>
          <w:rFonts w:cs="Arial"/>
          <w:iCs/>
          <w:color w:val="4B4B4B"/>
          <w:sz w:val="20"/>
          <w:szCs w:val="20"/>
          <w:lang w:eastAsia="en-US"/>
        </w:rPr>
        <w:t>i</w:t>
      </w:r>
      <w:proofErr w:type="spellEnd"/>
      <w:r w:rsidRPr="00F068AF">
        <w:rPr>
          <w:rFonts w:cs="Arial"/>
          <w:iCs/>
          <w:color w:val="4B4B4B"/>
          <w:sz w:val="20"/>
          <w:szCs w:val="20"/>
          <w:lang w:eastAsia="en-US"/>
        </w:rPr>
        <w:t>) and ii) applies to the value of an exit credit payment.</w:t>
      </w:r>
    </w:p>
    <w:p w14:paraId="442D6355" w14:textId="77777777" w:rsidR="00432B59" w:rsidRPr="00F068AF" w:rsidRDefault="00432B59" w:rsidP="00432B59">
      <w:pPr>
        <w:numPr>
          <w:ilvl w:val="0"/>
          <w:numId w:val="47"/>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 If a scheduled body or designating body becomes an </w:t>
      </w:r>
      <w:proofErr w:type="spellStart"/>
      <w:r w:rsidRPr="00F068AF">
        <w:rPr>
          <w:rFonts w:cs="Arial"/>
          <w:iCs/>
          <w:color w:val="4B4B4B"/>
          <w:sz w:val="20"/>
          <w:szCs w:val="20"/>
          <w:lang w:eastAsia="en-US"/>
        </w:rPr>
        <w:t>exiting</w:t>
      </w:r>
      <w:proofErr w:type="spellEnd"/>
      <w:r w:rsidRPr="00F068AF">
        <w:rPr>
          <w:rFonts w:cs="Arial"/>
          <w:iCs/>
          <w:color w:val="4B4B4B"/>
          <w:sz w:val="20"/>
          <w:szCs w:val="20"/>
          <w:lang w:eastAsia="en-US"/>
        </w:rPr>
        <w:t xml:space="preserve"> employer due to a reorganisation, merger or take-over, then no exit credit will be paid. </w:t>
      </w:r>
    </w:p>
    <w:p w14:paraId="1C488CBF" w14:textId="77777777" w:rsidR="00432B59" w:rsidRPr="00F068AF" w:rsidRDefault="00432B59" w:rsidP="00432B59">
      <w:pPr>
        <w:numPr>
          <w:ilvl w:val="0"/>
          <w:numId w:val="47"/>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If a scheduled body or resolution body leaves on a </w:t>
      </w:r>
      <w:proofErr w:type="gramStart"/>
      <w:r w:rsidRPr="00F068AF">
        <w:rPr>
          <w:rFonts w:cs="Arial"/>
          <w:iCs/>
          <w:color w:val="4B4B4B"/>
          <w:sz w:val="20"/>
          <w:szCs w:val="20"/>
          <w:lang w:eastAsia="en-US"/>
        </w:rPr>
        <w:t>risk based</w:t>
      </w:r>
      <w:proofErr w:type="gramEnd"/>
      <w:r w:rsidRPr="00F068AF">
        <w:rPr>
          <w:rFonts w:cs="Arial"/>
          <w:iCs/>
          <w:color w:val="4B4B4B"/>
          <w:sz w:val="20"/>
          <w:szCs w:val="20"/>
          <w:lang w:eastAsia="en-US"/>
        </w:rPr>
        <w:t xml:space="preserve"> cessation basis (because no guarantor is in place), then any exit credit will normally be paid in full to the employer. </w:t>
      </w:r>
    </w:p>
    <w:p w14:paraId="264C3F33" w14:textId="77777777" w:rsidR="00432B59" w:rsidRPr="009718A7" w:rsidRDefault="00432B59" w:rsidP="00432B59">
      <w:pPr>
        <w:spacing w:before="20" w:after="200" w:line="280" w:lineRule="atLeast"/>
        <w:textAlignment w:val="auto"/>
        <w:rPr>
          <w:rFonts w:cs="Arial"/>
          <w:b/>
          <w:bCs/>
          <w:iCs/>
          <w:color w:val="4B4B4B"/>
          <w:lang w:eastAsia="en-US"/>
        </w:rPr>
      </w:pPr>
      <w:r w:rsidRPr="009718A7">
        <w:rPr>
          <w:rFonts w:cs="Arial"/>
          <w:b/>
          <w:bCs/>
          <w:iCs/>
          <w:color w:val="4B4B4B"/>
          <w:lang w:eastAsia="en-US"/>
        </w:rPr>
        <w:t>General</w:t>
      </w:r>
    </w:p>
    <w:p w14:paraId="562149C3" w14:textId="77777777" w:rsidR="00432B59" w:rsidRPr="00F068AF" w:rsidRDefault="00432B59" w:rsidP="00432B59">
      <w:pPr>
        <w:numPr>
          <w:ilvl w:val="0"/>
          <w:numId w:val="45"/>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The fund will advise the exiting employer as well as the letting authority and/or other relevant scheme employers of its decision to make an exit credit determination under Regulation 64 (2D). </w:t>
      </w:r>
    </w:p>
    <w:p w14:paraId="5617AD8F" w14:textId="77777777" w:rsidR="00432B59" w:rsidRPr="00F068AF" w:rsidRDefault="00432B59" w:rsidP="00432B59">
      <w:pPr>
        <w:numPr>
          <w:ilvl w:val="0"/>
          <w:numId w:val="45"/>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Subject to any risk sharing or other arrangements and factors discussed above, when determining the cessation funding </w:t>
      </w:r>
      <w:proofErr w:type="gramStart"/>
      <w:r w:rsidRPr="00F068AF">
        <w:rPr>
          <w:rFonts w:cs="Arial"/>
          <w:iCs/>
          <w:color w:val="4B4B4B"/>
          <w:sz w:val="20"/>
          <w:szCs w:val="20"/>
          <w:lang w:eastAsia="en-US"/>
        </w:rPr>
        <w:t>position</w:t>
      </w:r>
      <w:proofErr w:type="gramEnd"/>
      <w:r w:rsidRPr="00F068AF">
        <w:rPr>
          <w:rFonts w:cs="Arial"/>
          <w:iCs/>
          <w:color w:val="4B4B4B"/>
          <w:sz w:val="20"/>
          <w:szCs w:val="20"/>
          <w:lang w:eastAsia="en-US"/>
        </w:rPr>
        <w:t xml:space="preserve"> the Fund will generally make an assessment based on the value of contributions paid by the employer during their participation, and the respective investment returns earned. </w:t>
      </w:r>
    </w:p>
    <w:p w14:paraId="656A1A1E" w14:textId="77777777" w:rsidR="00432B59" w:rsidRPr="00F068AF" w:rsidRDefault="00432B59" w:rsidP="00432B59">
      <w:pPr>
        <w:numPr>
          <w:ilvl w:val="0"/>
          <w:numId w:val="45"/>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The fund will also factor in if any contributions due or monies owed to the fund remain unpaid by the employer at the cessation date. If this is the case, the fund’s default position will be to deduct these from any exit credit payment.</w:t>
      </w:r>
    </w:p>
    <w:p w14:paraId="3278E291" w14:textId="77777777" w:rsidR="00432B59" w:rsidRPr="00F068AF" w:rsidRDefault="00432B59" w:rsidP="00432B59">
      <w:pPr>
        <w:numPr>
          <w:ilvl w:val="0"/>
          <w:numId w:val="45"/>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The final decision will be made by the </w:t>
      </w:r>
      <w:r w:rsidRPr="009718A7">
        <w:rPr>
          <w:rFonts w:cs="Arial"/>
          <w:iCs/>
          <w:color w:val="4B4B4B"/>
          <w:sz w:val="20"/>
          <w:szCs w:val="20"/>
          <w:lang w:eastAsia="en-US"/>
        </w:rPr>
        <w:t>pension service manager</w:t>
      </w:r>
      <w:r w:rsidRPr="00F068AF">
        <w:rPr>
          <w:rFonts w:cs="Arial"/>
          <w:iCs/>
          <w:color w:val="4B4B4B"/>
          <w:sz w:val="20"/>
          <w:szCs w:val="20"/>
          <w:lang w:eastAsia="en-US"/>
        </w:rPr>
        <w:t>, in conjunction with advice from the fund’s actuary and/or legal advisors where necessary, in consideration of the points held within this policy.</w:t>
      </w:r>
    </w:p>
    <w:p w14:paraId="62989D34" w14:textId="77777777" w:rsidR="00432B59" w:rsidRPr="00F068AF" w:rsidRDefault="00432B59" w:rsidP="00432B59">
      <w:pPr>
        <w:numPr>
          <w:ilvl w:val="0"/>
          <w:numId w:val="45"/>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The fund accepts that there may be some situations that are bespoke in nature and do not fall into any of the categories above. In these </w:t>
      </w:r>
      <w:proofErr w:type="gramStart"/>
      <w:r w:rsidRPr="00F068AF">
        <w:rPr>
          <w:rFonts w:cs="Arial"/>
          <w:iCs/>
          <w:color w:val="4B4B4B"/>
          <w:sz w:val="20"/>
          <w:szCs w:val="20"/>
          <w:lang w:eastAsia="en-US"/>
        </w:rPr>
        <w:t>situations</w:t>
      </w:r>
      <w:proofErr w:type="gramEnd"/>
      <w:r w:rsidRPr="00F068AF">
        <w:rPr>
          <w:rFonts w:cs="Arial"/>
          <w:iCs/>
          <w:color w:val="4B4B4B"/>
          <w:sz w:val="20"/>
          <w:szCs w:val="20"/>
          <w:lang w:eastAsia="en-US"/>
        </w:rPr>
        <w:t xml:space="preserve"> the fund will discuss its approach to determining an exit credit with all affected parties. The decision of the fund in these instances is final. </w:t>
      </w:r>
    </w:p>
    <w:p w14:paraId="13D3CD81" w14:textId="77777777" w:rsidR="00432B59" w:rsidRPr="00F068AF" w:rsidRDefault="00432B59" w:rsidP="00432B59">
      <w:pPr>
        <w:numPr>
          <w:ilvl w:val="0"/>
          <w:numId w:val="45"/>
        </w:numPr>
        <w:spacing w:before="20" w:after="200" w:line="280" w:lineRule="atLeast"/>
        <w:textAlignment w:val="auto"/>
        <w:rPr>
          <w:rFonts w:cs="Arial"/>
          <w:iCs/>
          <w:color w:val="4B4B4B"/>
          <w:sz w:val="20"/>
          <w:szCs w:val="20"/>
          <w:lang w:eastAsia="en-US"/>
        </w:rPr>
      </w:pPr>
      <w:r w:rsidRPr="00F068AF">
        <w:rPr>
          <w:rFonts w:cs="Arial"/>
          <w:iCs/>
          <w:color w:val="4B4B4B"/>
          <w:sz w:val="20"/>
          <w:szCs w:val="20"/>
          <w:lang w:eastAsia="en-US"/>
        </w:rPr>
        <w:t xml:space="preserve">The guidelines above at point ii) in the ‘Admitted bodies’ section, and at points </w:t>
      </w:r>
      <w:proofErr w:type="spellStart"/>
      <w:r w:rsidRPr="00F068AF">
        <w:rPr>
          <w:rFonts w:cs="Arial"/>
          <w:iCs/>
          <w:color w:val="4B4B4B"/>
          <w:sz w:val="20"/>
          <w:szCs w:val="20"/>
          <w:lang w:eastAsia="en-US"/>
        </w:rPr>
        <w:t>i</w:t>
      </w:r>
      <w:proofErr w:type="spellEnd"/>
      <w:r w:rsidRPr="00F068AF">
        <w:rPr>
          <w:rFonts w:cs="Arial"/>
          <w:iCs/>
          <w:color w:val="4B4B4B"/>
          <w:sz w:val="20"/>
          <w:szCs w:val="20"/>
          <w:lang w:eastAsia="en-US"/>
        </w:rPr>
        <w:t xml:space="preserve">) and ii) in the ‘Scheduled bodies and designating bodies’ section, </w:t>
      </w:r>
      <w:proofErr w:type="gramStart"/>
      <w:r w:rsidRPr="00F068AF">
        <w:rPr>
          <w:rFonts w:cs="Arial"/>
          <w:iCs/>
          <w:color w:val="4B4B4B"/>
          <w:sz w:val="20"/>
          <w:szCs w:val="20"/>
          <w:lang w:eastAsia="en-US"/>
        </w:rPr>
        <w:t>make reference</w:t>
      </w:r>
      <w:proofErr w:type="gramEnd"/>
      <w:r w:rsidRPr="00F068AF">
        <w:rPr>
          <w:rFonts w:cs="Arial"/>
          <w:iCs/>
          <w:color w:val="4B4B4B"/>
          <w:sz w:val="20"/>
          <w:szCs w:val="20"/>
          <w:lang w:eastAsia="en-US"/>
        </w:rPr>
        <w:t xml:space="preserve"> to the Fund ‘considering the approach to setting contribution rates during the employer’s participation’. The different funding approaches, including the parameters used and how these can vary based on employer type, are covered in detail in Table 2 (section 2.2) in the FSS. Considering the approach taken when setting contribution rates of the exiting employer may help the fund to understand the extent to which the employer is responsible for funding the underlying liabilities on exit. For example, if contribution rates have always been based on ongoing </w:t>
      </w:r>
      <w:proofErr w:type="gramStart"/>
      <w:r w:rsidRPr="00F068AF">
        <w:rPr>
          <w:rFonts w:cs="Arial"/>
          <w:iCs/>
          <w:color w:val="4B4B4B"/>
          <w:sz w:val="20"/>
          <w:szCs w:val="20"/>
          <w:lang w:eastAsia="en-US"/>
        </w:rPr>
        <w:t>assumptions</w:t>
      </w:r>
      <w:proofErr w:type="gramEnd"/>
      <w:r w:rsidRPr="00F068AF">
        <w:rPr>
          <w:rFonts w:cs="Arial"/>
          <w:iCs/>
          <w:color w:val="4B4B4B"/>
          <w:sz w:val="20"/>
          <w:szCs w:val="20"/>
          <w:lang w:eastAsia="en-US"/>
        </w:rPr>
        <w:t xml:space="preserve"> then this may suggest that these are also appropriate assumptions for exit credit purposes (subject to the other considerations outlined within this policy). Equally, a shorter than usual funding time horizon or lower than usual probability of success parameter may reflect underlying commercial terms about how responsibility for pension risks is split between the employer and its guarantor. For the avoidance of doubt, each exiting employer will be considered in the round alongside the other factors mentioned above. </w:t>
      </w:r>
    </w:p>
    <w:p w14:paraId="3F7F79C6" w14:textId="77777777" w:rsidR="00432B59" w:rsidRPr="009718A7" w:rsidRDefault="00432B59" w:rsidP="00432B59">
      <w:pPr>
        <w:spacing w:before="20" w:after="200" w:line="280" w:lineRule="atLeast"/>
        <w:textAlignment w:val="auto"/>
        <w:rPr>
          <w:rFonts w:cs="Arial"/>
          <w:b/>
          <w:bCs/>
          <w:iCs/>
          <w:color w:val="4B4B4B"/>
          <w:lang w:eastAsia="en-US"/>
        </w:rPr>
      </w:pPr>
      <w:r w:rsidRPr="009718A7">
        <w:rPr>
          <w:rFonts w:cs="Arial"/>
          <w:b/>
          <w:bCs/>
          <w:iCs/>
          <w:color w:val="4B4B4B"/>
          <w:lang w:eastAsia="en-US"/>
        </w:rPr>
        <w:t xml:space="preserve">Disputes </w:t>
      </w:r>
    </w:p>
    <w:p w14:paraId="36CE37DA" w14:textId="186F6558" w:rsidR="00432B59" w:rsidRDefault="00432B59" w:rsidP="00432B59">
      <w:pPr>
        <w:pStyle w:val="BodyTextGrey"/>
      </w:pPr>
      <w:r w:rsidRPr="00F068AF">
        <w:t>In the event of any dispute or disagreement on the amount of any exit credit paid and the process by which that has been considered, the appeals and adjudication provisions contained in Regulations 69-73 of the LGPS (Scotland) Regulations 2018 would apply</w:t>
      </w:r>
    </w:p>
    <w:p w14:paraId="6824D9C0" w14:textId="77777777" w:rsidR="00F93097" w:rsidRPr="00E267DE" w:rsidRDefault="00F93097" w:rsidP="00F93097">
      <w:pPr>
        <w:pStyle w:val="BodyTextGrey"/>
      </w:pPr>
      <w:bookmarkStart w:id="124" w:name="_Exit_credits"/>
      <w:bookmarkEnd w:id="123"/>
      <w:bookmarkEnd w:id="124"/>
      <w:r w:rsidRPr="00E267DE">
        <w:br w:type="page"/>
      </w:r>
    </w:p>
    <w:p w14:paraId="68C27A22" w14:textId="37FC3A1E" w:rsidR="00F93097" w:rsidRDefault="00F93097" w:rsidP="00DB668C">
      <w:pPr>
        <w:pStyle w:val="Appendix2"/>
      </w:pPr>
      <w:r>
        <w:t xml:space="preserve">G6 </w:t>
      </w:r>
      <w:r w:rsidR="00317721">
        <w:tab/>
      </w:r>
      <w:r>
        <w:t>Practicalities and process</w:t>
      </w:r>
    </w:p>
    <w:p w14:paraId="07D44CF6" w14:textId="77777777" w:rsidR="00F93097" w:rsidRDefault="00F93097" w:rsidP="00317721">
      <w:pPr>
        <w:pStyle w:val="Appendix2"/>
        <w:ind w:firstLine="0"/>
      </w:pPr>
      <w:r>
        <w:t>G6.1 Responsibilities of ceasing employers</w:t>
      </w:r>
    </w:p>
    <w:p w14:paraId="76992E57" w14:textId="77777777" w:rsidR="00F93097" w:rsidRDefault="00F93097" w:rsidP="00F93097">
      <w:pPr>
        <w:pStyle w:val="BodyTextGrey"/>
      </w:pPr>
      <w:r>
        <w:t>An employer which is aware that its participation in the Fund is likely to come to an end must:</w:t>
      </w:r>
    </w:p>
    <w:p w14:paraId="6D93A98D" w14:textId="77777777" w:rsidR="00F93097" w:rsidRDefault="00F93097" w:rsidP="00F9314B">
      <w:pPr>
        <w:pStyle w:val="BodyTextGrey"/>
        <w:numPr>
          <w:ilvl w:val="0"/>
          <w:numId w:val="33"/>
        </w:numPr>
      </w:pPr>
      <w:r>
        <w:t>advise the Fund, in writing, of the likely ending of its participation (either within the terms of the admission agreement in respect of an admission body (typically a 3 month notice period is required) or otherwise as required by the Regulations for all other scheme employers).  It should be noted that this includes closed employers where the last employee member is leaving (whether due to retirement, death or otherwise leaving employment).</w:t>
      </w:r>
    </w:p>
    <w:p w14:paraId="54DC806E" w14:textId="77777777" w:rsidR="00F93097" w:rsidRDefault="00F93097" w:rsidP="00F9314B">
      <w:pPr>
        <w:pStyle w:val="BodyTextGrey"/>
        <w:numPr>
          <w:ilvl w:val="0"/>
          <w:numId w:val="33"/>
        </w:numPr>
      </w:pPr>
      <w:r>
        <w:t>provide any relevant information on the reason for leaving the Fund and, where appropriate, contact information in the case of a take-over, merger or insolvency.</w:t>
      </w:r>
    </w:p>
    <w:p w14:paraId="2A37DFB1" w14:textId="77777777" w:rsidR="00F93097" w:rsidRDefault="00F93097" w:rsidP="00F9314B">
      <w:pPr>
        <w:pStyle w:val="BodyTextGrey"/>
        <w:numPr>
          <w:ilvl w:val="0"/>
          <w:numId w:val="33"/>
        </w:numPr>
      </w:pPr>
      <w:r>
        <w:t>provide all other information and data requirements as requested by the Administering Authority which are relevant, including in particular any changes to the membership which could affect the liabilities (e.g. salary increases and early retirements) and an indication of what will happen to current employee members on cessation (e.g. will they transfer to another Fund employer, will they cease to accrue benefits within the Fund, etc.).</w:t>
      </w:r>
      <w:bookmarkStart w:id="125" w:name="_Toc16078793"/>
    </w:p>
    <w:p w14:paraId="3C8D5A13" w14:textId="77777777" w:rsidR="00F93097" w:rsidRDefault="00F93097" w:rsidP="00F9314B">
      <w:pPr>
        <w:pStyle w:val="BodyTextGrey"/>
        <w:numPr>
          <w:ilvl w:val="0"/>
          <w:numId w:val="33"/>
        </w:numPr>
      </w:pPr>
      <w:r>
        <w:t xml:space="preserve">meet the cost of all fees and charges incurred by the Fund </w:t>
      </w:r>
      <w:proofErr w:type="gramStart"/>
      <w:r>
        <w:t>in the course of</w:t>
      </w:r>
      <w:proofErr w:type="gramEnd"/>
      <w:r>
        <w:t xml:space="preserve"> cessation including, but not limited to, the cost to obtain the cessation valuation report from the Fund Actuary and the cost of implementing a flexible repayment option (as set out in section 3.2). </w:t>
      </w:r>
    </w:p>
    <w:bookmarkEnd w:id="125"/>
    <w:p w14:paraId="15C55D67" w14:textId="77777777" w:rsidR="00F93097" w:rsidRDefault="00F93097" w:rsidP="00317721">
      <w:pPr>
        <w:pStyle w:val="Appendix2"/>
        <w:ind w:firstLine="0"/>
      </w:pPr>
      <w:r>
        <w:t>G6.2 Responsibilities of Administering Authority</w:t>
      </w:r>
    </w:p>
    <w:p w14:paraId="4F9CEB5E" w14:textId="77777777" w:rsidR="00F93097" w:rsidRDefault="00F93097" w:rsidP="00F93097">
      <w:pPr>
        <w:pStyle w:val="BodyTextGrey"/>
      </w:pPr>
      <w:r>
        <w:t>The Administering Authority will:</w:t>
      </w:r>
    </w:p>
    <w:p w14:paraId="51FE62C5" w14:textId="77777777" w:rsidR="00F93097" w:rsidRDefault="00F93097" w:rsidP="00F9314B">
      <w:pPr>
        <w:pStyle w:val="BodyTextGrey"/>
        <w:numPr>
          <w:ilvl w:val="0"/>
          <w:numId w:val="34"/>
        </w:numPr>
      </w:pPr>
      <w:r>
        <w:t>gather information as required, including, but not limited to, the following:</w:t>
      </w:r>
    </w:p>
    <w:p w14:paraId="271FEF71" w14:textId="77777777" w:rsidR="00F93097" w:rsidRDefault="00F93097" w:rsidP="00F9314B">
      <w:pPr>
        <w:pStyle w:val="BodyTextGrey"/>
        <w:numPr>
          <w:ilvl w:val="1"/>
          <w:numId w:val="34"/>
        </w:numPr>
      </w:pPr>
      <w:r>
        <w:t xml:space="preserve">details of the cessation - the reason the employer is leaving the Fund (i.e. end of contract, insolvency, merger, machinery of government changes, etc.) and any supporting documentation that may </w:t>
      </w:r>
      <w:proofErr w:type="gramStart"/>
      <w:r>
        <w:t>have an effect on</w:t>
      </w:r>
      <w:proofErr w:type="gramEnd"/>
      <w:r>
        <w:t xml:space="preserve"> the cessation.</w:t>
      </w:r>
    </w:p>
    <w:p w14:paraId="0F318DA8" w14:textId="77777777" w:rsidR="00F93097" w:rsidRDefault="00F93097" w:rsidP="00F9314B">
      <w:pPr>
        <w:pStyle w:val="BodyTextGrey"/>
        <w:numPr>
          <w:ilvl w:val="1"/>
          <w:numId w:val="34"/>
        </w:numPr>
      </w:pPr>
      <w:r>
        <w:t>complete membership data for the outgoing employer and identify changes since the previous formal valuation.</w:t>
      </w:r>
    </w:p>
    <w:p w14:paraId="7B142412" w14:textId="77777777" w:rsidR="00F93097" w:rsidRDefault="00F93097" w:rsidP="00F9314B">
      <w:pPr>
        <w:pStyle w:val="BodyTextGrey"/>
        <w:numPr>
          <w:ilvl w:val="1"/>
          <w:numId w:val="34"/>
        </w:numPr>
      </w:pPr>
      <w:r>
        <w:t>the likely outcome for any remaining employee members (e.g. will they be transferred to a new employer, or will they cease to accrue liabilities in the Fund).</w:t>
      </w:r>
    </w:p>
    <w:p w14:paraId="4EB8AFAA" w14:textId="77777777" w:rsidR="00F93097" w:rsidRDefault="00F93097" w:rsidP="00F9314B">
      <w:pPr>
        <w:pStyle w:val="BodyTextGrey"/>
        <w:numPr>
          <w:ilvl w:val="0"/>
          <w:numId w:val="34"/>
        </w:numPr>
      </w:pPr>
      <w:r>
        <w:t>identify the party that will be responsible for the employer’s deficit on cessation (i.e. the employer itself, an insurance company, a receiver, another Fund employer, guarantor, etc.).</w:t>
      </w:r>
    </w:p>
    <w:p w14:paraId="1E37E09B" w14:textId="77777777" w:rsidR="00F93097" w:rsidRDefault="00F93097" w:rsidP="00F9314B">
      <w:pPr>
        <w:pStyle w:val="BodyTextGrey"/>
        <w:numPr>
          <w:ilvl w:val="0"/>
          <w:numId w:val="34"/>
        </w:numPr>
      </w:pPr>
      <w:r>
        <w:t>commission the Fund actuary to carry out a cessation valuation under the appropriate regulation.</w:t>
      </w:r>
    </w:p>
    <w:p w14:paraId="60B05799" w14:textId="77777777" w:rsidR="00F93097" w:rsidRDefault="00F93097" w:rsidP="00F9314B">
      <w:pPr>
        <w:pStyle w:val="BodyTextGrey"/>
        <w:numPr>
          <w:ilvl w:val="0"/>
          <w:numId w:val="34"/>
        </w:numPr>
      </w:pPr>
      <w:r>
        <w:t xml:space="preserve">where applicable, discuss with the employer the possibility of paying adjusted contribution rates that target a </w:t>
      </w:r>
      <w:proofErr w:type="gramStart"/>
      <w:r>
        <w:t>zero exit</w:t>
      </w:r>
      <w:proofErr w:type="gramEnd"/>
      <w:r>
        <w:t xml:space="preserve"> payment by the date of cessation through increased contributions in the case of a deficit on the cessation basis or reduced contributions in respect of a surplus.</w:t>
      </w:r>
    </w:p>
    <w:p w14:paraId="681D78BF" w14:textId="77777777" w:rsidR="00F93097" w:rsidRDefault="00F93097" w:rsidP="00F9314B">
      <w:pPr>
        <w:pStyle w:val="BodyTextGrey"/>
        <w:numPr>
          <w:ilvl w:val="0"/>
          <w:numId w:val="34"/>
        </w:numPr>
      </w:pPr>
      <w:r>
        <w:t xml:space="preserve">where applicable, liaise with the original ceding employer or guarantor and ensure it is aware of its responsibilities, </w:t>
      </w:r>
      <w:proofErr w:type="gramStart"/>
      <w:r>
        <w:t>in particular for</w:t>
      </w:r>
      <w:proofErr w:type="gramEnd"/>
      <w:r>
        <w:t xml:space="preserve"> any residual liabilities or risk associated with the outgoing employer’s membership.</w:t>
      </w:r>
    </w:p>
    <w:p w14:paraId="4DAE345E" w14:textId="77777777" w:rsidR="00F93097" w:rsidRDefault="00F93097" w:rsidP="00F9314B">
      <w:pPr>
        <w:pStyle w:val="BodyTextGrey"/>
        <w:numPr>
          <w:ilvl w:val="0"/>
          <w:numId w:val="34"/>
        </w:numPr>
      </w:pPr>
      <w:r>
        <w:t>having taken actuarial advice, notify the employer and other relevant parties in writing of the payment required in respect of any deficit on cessation and pursue payment.</w:t>
      </w:r>
    </w:p>
    <w:p w14:paraId="2F1BD317" w14:textId="77777777" w:rsidR="00F93097" w:rsidRDefault="00F93097" w:rsidP="00317721">
      <w:pPr>
        <w:pStyle w:val="Appendix2"/>
        <w:ind w:firstLine="0"/>
      </w:pPr>
      <w:r>
        <w:t>G6.3 Payment of an exit credit</w:t>
      </w:r>
    </w:p>
    <w:p w14:paraId="597DE422" w14:textId="77777777" w:rsidR="00F93097" w:rsidRDefault="00F93097" w:rsidP="009F445E">
      <w:pPr>
        <w:pStyle w:val="BulletHymans"/>
        <w:numPr>
          <w:ilvl w:val="0"/>
          <w:numId w:val="48"/>
        </w:numPr>
      </w:pPr>
      <w:r>
        <w:t xml:space="preserve">If an exit credit is payable, the Fund will advise the exiting employer of the amount due to be repaid and seek to make payment within six months of the exit date. However, </w:t>
      </w:r>
      <w:proofErr w:type="gramStart"/>
      <w:r>
        <w:t>in order to</w:t>
      </w:r>
      <w:proofErr w:type="gramEnd"/>
      <w:r>
        <w:t xml:space="preserve"> meet the six-month timeframe, the Fund requires prompt notification of an employers’ exit and all data requested to be provided in a timely manner. The Fund is unable to make any exit credit payment until it has received all data requested.</w:t>
      </w:r>
    </w:p>
    <w:p w14:paraId="4DA5D0D4" w14:textId="77777777" w:rsidR="00F93097" w:rsidRPr="00E07578" w:rsidRDefault="00F93097" w:rsidP="009F445E">
      <w:pPr>
        <w:pStyle w:val="BulletHymans"/>
        <w:numPr>
          <w:ilvl w:val="0"/>
          <w:numId w:val="48"/>
        </w:numPr>
      </w:pPr>
      <w:r>
        <w:t xml:space="preserve">At the time this policy was effective from, the Fund has been informed by HMRC that exit credits are not subject to tax. </w:t>
      </w:r>
      <w:proofErr w:type="gramStart"/>
      <w:r>
        <w:t>However</w:t>
      </w:r>
      <w:proofErr w:type="gramEnd"/>
      <w:r>
        <w:t xml:space="preserve"> all exiting employers must seek their own advice on the tax and accounting treatment of any exit credit.</w:t>
      </w:r>
    </w:p>
    <w:p w14:paraId="6D49451B" w14:textId="77777777" w:rsidR="00F93097" w:rsidRPr="006F1A6D" w:rsidRDefault="00F93097" w:rsidP="00317721">
      <w:pPr>
        <w:pStyle w:val="Appendix2"/>
        <w:ind w:firstLine="0"/>
      </w:pPr>
      <w:r>
        <w:t xml:space="preserve">G6.4 </w:t>
      </w:r>
      <w:r w:rsidRPr="006F1A6D">
        <w:t xml:space="preserve">Responsibilities of </w:t>
      </w:r>
      <w:r>
        <w:t>the actuary</w:t>
      </w:r>
    </w:p>
    <w:p w14:paraId="2EED12D2" w14:textId="77777777" w:rsidR="00F93097" w:rsidRPr="006F1A6D" w:rsidRDefault="00F93097" w:rsidP="00F93097">
      <w:pPr>
        <w:pStyle w:val="BodyTextGrey"/>
      </w:pPr>
      <w:r w:rsidRPr="006F1A6D">
        <w:t xml:space="preserve">Following commission of a cessation valuation by the </w:t>
      </w:r>
      <w:r>
        <w:t>Administering Authority</w:t>
      </w:r>
      <w:r w:rsidRPr="006F1A6D">
        <w:t xml:space="preserve">, the </w:t>
      </w:r>
      <w:r>
        <w:t>Fund</w:t>
      </w:r>
      <w:r w:rsidRPr="006F1A6D">
        <w:t xml:space="preserve"> </w:t>
      </w:r>
      <w:r>
        <w:t>a</w:t>
      </w:r>
      <w:r w:rsidRPr="006F1A6D">
        <w:t xml:space="preserve">ctuary will: </w:t>
      </w:r>
    </w:p>
    <w:p w14:paraId="57F7DF6C" w14:textId="77777777" w:rsidR="00F93097" w:rsidRPr="006F1A6D" w:rsidRDefault="00F93097" w:rsidP="00F9314B">
      <w:pPr>
        <w:pStyle w:val="BodyTextGrey"/>
        <w:numPr>
          <w:ilvl w:val="0"/>
          <w:numId w:val="34"/>
        </w:numPr>
      </w:pPr>
      <w:r w:rsidRPr="006F1A6D">
        <w:t xml:space="preserve">calculate the surplus or deficit attributable to the outgoing employer on an appropriate basis, </w:t>
      </w:r>
      <w:proofErr w:type="gramStart"/>
      <w:r w:rsidRPr="006F1A6D">
        <w:t>taking into account</w:t>
      </w:r>
      <w:proofErr w:type="gramEnd"/>
      <w:r w:rsidRPr="006F1A6D">
        <w:t xml:space="preserve"> the principles set out in this policy</w:t>
      </w:r>
      <w:r>
        <w:t>.</w:t>
      </w:r>
    </w:p>
    <w:p w14:paraId="5B4329F8" w14:textId="77777777" w:rsidR="00F93097" w:rsidRPr="006F1A6D" w:rsidRDefault="00F93097" w:rsidP="00F9314B">
      <w:pPr>
        <w:pStyle w:val="BodyTextGrey"/>
        <w:numPr>
          <w:ilvl w:val="0"/>
          <w:numId w:val="34"/>
        </w:numPr>
      </w:pPr>
      <w:r w:rsidRPr="006F1A6D">
        <w:t xml:space="preserve">provide actuarial advice to the </w:t>
      </w:r>
      <w:r>
        <w:t>Administering Authority</w:t>
      </w:r>
      <w:r w:rsidRPr="006F1A6D">
        <w:t xml:space="preserve"> </w:t>
      </w:r>
      <w:r>
        <w:t>o</w:t>
      </w:r>
      <w:r w:rsidRPr="006F1A6D">
        <w:t xml:space="preserve">n how any cessation deficit should be recovered, </w:t>
      </w:r>
      <w:proofErr w:type="gramStart"/>
      <w:r w:rsidRPr="006F1A6D">
        <w:t>giving consideration to</w:t>
      </w:r>
      <w:proofErr w:type="gramEnd"/>
      <w:r w:rsidRPr="006F1A6D">
        <w:t xml:space="preserve"> the circumstances of the employer and any information collected to date in respect to the cessation</w:t>
      </w:r>
      <w:r>
        <w:t>.</w:t>
      </w:r>
      <w:r w:rsidRPr="006F1A6D">
        <w:t xml:space="preserve"> </w:t>
      </w:r>
    </w:p>
    <w:p w14:paraId="3AADF2F9" w14:textId="77777777" w:rsidR="00F93097" w:rsidRDefault="00F93097" w:rsidP="00F9314B">
      <w:pPr>
        <w:pStyle w:val="BodyTextGrey"/>
        <w:numPr>
          <w:ilvl w:val="0"/>
          <w:numId w:val="34"/>
        </w:numPr>
      </w:pPr>
      <w:r w:rsidRPr="006F1A6D">
        <w:t xml:space="preserve">where appropriate, advise on the implications of the employer leaving on the remaining </w:t>
      </w:r>
      <w:r>
        <w:t>Fund</w:t>
      </w:r>
      <w:r w:rsidRPr="006F1A6D">
        <w:t xml:space="preserve"> employers, including any residual effects to be considered as part of triennial valuations.  </w:t>
      </w:r>
      <w:r>
        <w:t xml:space="preserve"> </w:t>
      </w:r>
    </w:p>
    <w:p w14:paraId="3E4F192B" w14:textId="5266B150" w:rsidR="00F93097" w:rsidRPr="00F9314B" w:rsidRDefault="00F93097" w:rsidP="00DB668C">
      <w:pPr>
        <w:pStyle w:val="Appendix2"/>
      </w:pPr>
      <w:r w:rsidRPr="00F9314B">
        <w:t xml:space="preserve">G7 </w:t>
      </w:r>
      <w:r w:rsidR="00317721">
        <w:tab/>
      </w:r>
      <w:r w:rsidRPr="00F9314B">
        <w:t>Related Policies</w:t>
      </w:r>
    </w:p>
    <w:p w14:paraId="7B8550DF" w14:textId="77777777" w:rsidR="00F93097" w:rsidRDefault="00F93097" w:rsidP="00F93097">
      <w:pPr>
        <w:pStyle w:val="BodyTextGrey"/>
      </w:pPr>
      <w:r>
        <w:t>The Fund’s approach to setting of employer contribution rates is set out in the FSS, specifically “Section 2 - How does the Fund calculate employer contributions?”</w:t>
      </w:r>
    </w:p>
    <w:p w14:paraId="447C7B70" w14:textId="77777777" w:rsidR="00F93097" w:rsidRDefault="00F93097" w:rsidP="00F93097">
      <w:pPr>
        <w:pStyle w:val="BodyTextGrey"/>
      </w:pPr>
      <w:r>
        <w:t xml:space="preserve">The Fund’s approach to exiting employers is set </w:t>
      </w:r>
      <w:r w:rsidRPr="00FC5326">
        <w:t>out in the FSS, specifically “Section 7 – What happens when an employer leaves the Fund?”.</w:t>
      </w:r>
    </w:p>
    <w:p w14:paraId="76985E69" w14:textId="77777777" w:rsidR="00F93097" w:rsidRPr="00A76F56" w:rsidRDefault="00F93097" w:rsidP="00F93097">
      <w:pPr>
        <w:pStyle w:val="BodyTextGrey"/>
        <w:rPr>
          <w:u w:val="double"/>
        </w:rPr>
      </w:pPr>
      <w:r>
        <w:t>The approach taken to set the actuarial assumptions for cessation valuations is set out in Appendix D of the FSS.</w:t>
      </w:r>
    </w:p>
    <w:p w14:paraId="4E6AE378" w14:textId="77777777" w:rsidR="00F93097" w:rsidRPr="00424C77" w:rsidRDefault="00F93097" w:rsidP="00F93097">
      <w:pPr>
        <w:pStyle w:val="BodyTextGrey"/>
      </w:pPr>
    </w:p>
    <w:p w14:paraId="75A56036" w14:textId="77777777" w:rsidR="00F93097" w:rsidRPr="00E4099C" w:rsidRDefault="00F93097" w:rsidP="00F93097">
      <w:pPr>
        <w:spacing w:after="20"/>
        <w:rPr>
          <w:iCs/>
          <w:color w:val="4B4B4B"/>
          <w:kern w:val="28"/>
          <w:sz w:val="36"/>
          <w:lang w:eastAsia="en-US"/>
        </w:rPr>
      </w:pPr>
    </w:p>
    <w:p w14:paraId="6468EDDA" w14:textId="77777777" w:rsidR="00F93097" w:rsidRPr="00FC5326" w:rsidRDefault="00F93097" w:rsidP="00F93097">
      <w:pPr>
        <w:pStyle w:val="BodyTextGrey"/>
      </w:pPr>
    </w:p>
    <w:p w14:paraId="6023FA86" w14:textId="6D29013F" w:rsidR="002F1485" w:rsidRPr="00C92AEA" w:rsidRDefault="002F1485" w:rsidP="00C92AEA"/>
    <w:sectPr w:rsidR="002F1485" w:rsidRPr="00C92AEA" w:rsidSect="007A3DEF">
      <w:footerReference w:type="default" r:id="rId30"/>
      <w:pgSz w:w="11906" w:h="16838"/>
      <w:pgMar w:top="822" w:right="991" w:bottom="1134" w:left="1134" w:header="0"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05FD" w14:textId="77777777" w:rsidR="0085024B" w:rsidRDefault="0085024B" w:rsidP="007921C5">
      <w:r>
        <w:separator/>
      </w:r>
    </w:p>
  </w:endnote>
  <w:endnote w:type="continuationSeparator" w:id="0">
    <w:p w14:paraId="17C066CE" w14:textId="77777777" w:rsidR="0085024B" w:rsidRDefault="0085024B" w:rsidP="007921C5">
      <w:r>
        <w:continuationSeparator/>
      </w:r>
    </w:p>
  </w:endnote>
  <w:endnote w:type="continuationNotice" w:id="1">
    <w:p w14:paraId="3F80A883" w14:textId="77777777" w:rsidR="0085024B" w:rsidRDefault="008502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LT">
    <w:altName w:val="Times New Roman"/>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SLola-Bold">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3046" w14:textId="77777777" w:rsidR="00F93097" w:rsidRDefault="00B85AEF">
    <w:pPr>
      <w:pStyle w:val="Footer"/>
      <w:pBdr>
        <w:top w:val="single" w:sz="4" w:space="1" w:color="auto"/>
      </w:pBdr>
    </w:pPr>
    <w:r>
      <w:rPr>
        <w:noProof/>
      </w:rPr>
      <w:pict w14:anchorId="0770B8EA">
        <v:rect id="_x0000_i1025" style="width:.45pt;height:.05pt" o:hrpct="1" o:hralign="center" o:hrstd="t" o:hr="t" fillcolor="#a0a0a0" stroked="f"/>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25332D" w:rsidRPr="0025332D" w14:paraId="28409FA1" w14:textId="77777777">
      <w:tc>
        <w:tcPr>
          <w:tcW w:w="5812" w:type="dxa"/>
          <w:vAlign w:val="bottom"/>
        </w:tcPr>
        <w:p w14:paraId="74500413" w14:textId="38B7CF7D" w:rsidR="0025332D" w:rsidRPr="0025332D" w:rsidRDefault="0025332D" w:rsidP="0025332D">
          <w:pPr>
            <w:tabs>
              <w:tab w:val="center" w:pos="4680"/>
              <w:tab w:val="right" w:pos="9360"/>
            </w:tabs>
            <w:spacing w:after="0"/>
            <w:rPr>
              <w:color w:val="000000" w:themeColor="text1"/>
            </w:rPr>
          </w:pPr>
          <w:r w:rsidRPr="0025332D">
            <w:rPr>
              <w:b/>
              <w:bCs/>
              <w:color w:val="000000" w:themeColor="text1"/>
            </w:rPr>
            <w:t>Funding Strategy Statement (</w:t>
          </w:r>
          <w:r w:rsidR="00C869BE">
            <w:rPr>
              <w:b/>
              <w:bCs/>
              <w:color w:val="000000" w:themeColor="text1"/>
            </w:rPr>
            <w:t>March 2024)</w:t>
          </w:r>
        </w:p>
      </w:tc>
      <w:tc>
        <w:tcPr>
          <w:tcW w:w="3816" w:type="dxa"/>
          <w:vAlign w:val="bottom"/>
        </w:tcPr>
        <w:p w14:paraId="3CB9355A" w14:textId="77777777" w:rsidR="0025332D" w:rsidRPr="0025332D" w:rsidRDefault="0025332D" w:rsidP="0025332D">
          <w:pPr>
            <w:tabs>
              <w:tab w:val="center" w:pos="4680"/>
              <w:tab w:val="right" w:pos="9360"/>
            </w:tabs>
            <w:spacing w:after="0"/>
            <w:jc w:val="right"/>
            <w:rPr>
              <w:color w:val="000000" w:themeColor="text1"/>
            </w:rPr>
          </w:pPr>
          <w:r w:rsidRPr="0025332D">
            <w:rPr>
              <w:rFonts w:cs="Arial"/>
            </w:rPr>
            <w:t xml:space="preserve">Page </w:t>
          </w:r>
          <w:r w:rsidRPr="0025332D">
            <w:rPr>
              <w:rFonts w:cs="Arial"/>
            </w:rPr>
            <w:fldChar w:fldCharType="begin"/>
          </w:r>
          <w:r w:rsidRPr="0025332D">
            <w:rPr>
              <w:rFonts w:cs="Arial"/>
            </w:rPr>
            <w:instrText xml:space="preserve"> PAGE </w:instrText>
          </w:r>
          <w:r w:rsidRPr="0025332D">
            <w:rPr>
              <w:rFonts w:cs="Arial"/>
            </w:rPr>
            <w:fldChar w:fldCharType="separate"/>
          </w:r>
          <w:r w:rsidRPr="0025332D">
            <w:rPr>
              <w:rFonts w:cs="Arial"/>
              <w:noProof/>
            </w:rPr>
            <w:t>2</w:t>
          </w:r>
          <w:r w:rsidRPr="0025332D">
            <w:rPr>
              <w:rFonts w:cs="Arial"/>
            </w:rPr>
            <w:fldChar w:fldCharType="end"/>
          </w:r>
          <w:r w:rsidRPr="0025332D">
            <w:rPr>
              <w:rFonts w:cs="Arial"/>
            </w:rPr>
            <w:t xml:space="preserve"> of </w:t>
          </w:r>
          <w:r w:rsidRPr="0025332D">
            <w:rPr>
              <w:rFonts w:cs="Arial"/>
            </w:rPr>
            <w:fldChar w:fldCharType="begin"/>
          </w:r>
          <w:r w:rsidRPr="0025332D">
            <w:rPr>
              <w:rFonts w:cs="Arial"/>
            </w:rPr>
            <w:instrText xml:space="preserve"> NUMPAGES </w:instrText>
          </w:r>
          <w:r w:rsidRPr="0025332D">
            <w:rPr>
              <w:rFonts w:cs="Arial"/>
            </w:rPr>
            <w:fldChar w:fldCharType="separate"/>
          </w:r>
          <w:r w:rsidRPr="0025332D">
            <w:rPr>
              <w:rFonts w:cs="Arial"/>
              <w:noProof/>
            </w:rPr>
            <w:t>46</w:t>
          </w:r>
          <w:r w:rsidRPr="0025332D">
            <w:rPr>
              <w:rFonts w:cs="Arial"/>
            </w:rPr>
            <w:fldChar w:fldCharType="end"/>
          </w:r>
        </w:p>
      </w:tc>
    </w:tr>
  </w:tbl>
  <w:p w14:paraId="3ED82C20" w14:textId="77777777" w:rsidR="00F93097" w:rsidRPr="00CA166B" w:rsidRDefault="00F93097">
    <w:pPr>
      <w:pStyle w:val="Filepath"/>
      <w:spacing w:afterLines="80" w:after="192" w:line="240" w:lineRule="auto"/>
      <w:ind w:left="28"/>
      <w:rPr>
        <w:noProof/>
        <w:color w:val="455560"/>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9B13D5" w:rsidRPr="001C33A6" w14:paraId="1DF2DA73" w14:textId="77777777" w:rsidTr="009B13D5">
      <w:tc>
        <w:tcPr>
          <w:tcW w:w="5812" w:type="dxa"/>
          <w:vAlign w:val="bottom"/>
        </w:tcPr>
        <w:p w14:paraId="7CA99F2D" w14:textId="48146DA7" w:rsidR="009B13D5" w:rsidRPr="001C33A6" w:rsidRDefault="009B13D5" w:rsidP="009B13D5">
          <w:pPr>
            <w:pStyle w:val="Footer"/>
            <w:rPr>
              <w:color w:val="000000" w:themeColor="text1"/>
            </w:rPr>
          </w:pPr>
          <w:r w:rsidRPr="00373007">
            <w:rPr>
              <w:b/>
              <w:bCs/>
              <w:color w:val="000000" w:themeColor="text1"/>
            </w:rPr>
            <w:t>Funding Strategy Statement</w:t>
          </w:r>
          <w:r>
            <w:rPr>
              <w:b/>
              <w:bCs/>
              <w:color w:val="000000" w:themeColor="text1"/>
            </w:rPr>
            <w:t xml:space="preserve"> (</w:t>
          </w:r>
          <w:r w:rsidR="00421244">
            <w:rPr>
              <w:b/>
              <w:bCs/>
              <w:color w:val="000000" w:themeColor="text1"/>
            </w:rPr>
            <w:t>March 2024)</w:t>
          </w:r>
        </w:p>
      </w:tc>
      <w:tc>
        <w:tcPr>
          <w:tcW w:w="3816" w:type="dxa"/>
          <w:vAlign w:val="bottom"/>
        </w:tcPr>
        <w:p w14:paraId="124C8E11" w14:textId="3E7BD2DF" w:rsidR="009B13D5" w:rsidRPr="001C33A6" w:rsidRDefault="009B13D5" w:rsidP="009B13D5">
          <w:pPr>
            <w:pStyle w:val="Footer"/>
            <w:jc w:val="right"/>
            <w:rPr>
              <w:color w:val="000000" w:themeColor="text1"/>
            </w:rPr>
          </w:pPr>
          <w:r w:rsidRPr="00373007">
            <w:rPr>
              <w:rFonts w:cs="Arial"/>
            </w:rPr>
            <w:t xml:space="preserve">Page </w:t>
          </w:r>
          <w:r w:rsidRPr="00373007">
            <w:rPr>
              <w:rFonts w:cs="Arial"/>
            </w:rPr>
            <w:fldChar w:fldCharType="begin"/>
          </w:r>
          <w:r w:rsidRPr="00373007">
            <w:rPr>
              <w:rFonts w:cs="Arial"/>
            </w:rPr>
            <w:instrText xml:space="preserve"> PAGE </w:instrText>
          </w:r>
          <w:r w:rsidRPr="00373007">
            <w:rPr>
              <w:rFonts w:cs="Arial"/>
            </w:rPr>
            <w:fldChar w:fldCharType="separate"/>
          </w:r>
          <w:r w:rsidRPr="00373007">
            <w:rPr>
              <w:rFonts w:cs="Arial"/>
              <w:noProof/>
            </w:rPr>
            <w:t>2</w:t>
          </w:r>
          <w:r w:rsidRPr="00373007">
            <w:rPr>
              <w:rFonts w:cs="Arial"/>
            </w:rPr>
            <w:fldChar w:fldCharType="end"/>
          </w:r>
          <w:r w:rsidRPr="00373007">
            <w:rPr>
              <w:rFonts w:cs="Arial"/>
            </w:rPr>
            <w:t xml:space="preserve"> of </w:t>
          </w:r>
          <w:r w:rsidRPr="00373007">
            <w:rPr>
              <w:rFonts w:cs="Arial"/>
            </w:rPr>
            <w:fldChar w:fldCharType="begin"/>
          </w:r>
          <w:r w:rsidRPr="00373007">
            <w:rPr>
              <w:rFonts w:cs="Arial"/>
            </w:rPr>
            <w:instrText xml:space="preserve"> NUMPAGES </w:instrText>
          </w:r>
          <w:r w:rsidRPr="00373007">
            <w:rPr>
              <w:rFonts w:cs="Arial"/>
            </w:rPr>
            <w:fldChar w:fldCharType="separate"/>
          </w:r>
          <w:r w:rsidRPr="00373007">
            <w:rPr>
              <w:rFonts w:cs="Arial"/>
              <w:noProof/>
            </w:rPr>
            <w:t>46</w:t>
          </w:r>
          <w:r w:rsidRPr="00373007">
            <w:rPr>
              <w:rFonts w:cs="Arial"/>
            </w:rPr>
            <w:fldChar w:fldCharType="end"/>
          </w:r>
        </w:p>
      </w:tc>
    </w:tr>
  </w:tbl>
  <w:p w14:paraId="47EE9A5C" w14:textId="77777777" w:rsidR="00A0785C" w:rsidRPr="001C33A6" w:rsidRDefault="00A0785C" w:rsidP="001C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13EB" w14:textId="77777777" w:rsidR="0085024B" w:rsidRDefault="0085024B" w:rsidP="007921C5">
      <w:r>
        <w:separator/>
      </w:r>
    </w:p>
  </w:footnote>
  <w:footnote w:type="continuationSeparator" w:id="0">
    <w:p w14:paraId="1CC71E64" w14:textId="77777777" w:rsidR="0085024B" w:rsidRDefault="0085024B" w:rsidP="007921C5">
      <w:r>
        <w:continuationSeparator/>
      </w:r>
    </w:p>
  </w:footnote>
  <w:footnote w:type="continuationNotice" w:id="1">
    <w:p w14:paraId="0B8B7331" w14:textId="77777777" w:rsidR="0085024B" w:rsidRDefault="0085024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454"/>
    <w:multiLevelType w:val="hybridMultilevel"/>
    <w:tmpl w:val="8F0E8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63AB"/>
    <w:multiLevelType w:val="hybridMultilevel"/>
    <w:tmpl w:val="B502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F75B8"/>
    <w:multiLevelType w:val="multilevel"/>
    <w:tmpl w:val="A4B2AE7E"/>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3Num"/>
      <w:lvlText w:val="%1.%2"/>
      <w:lvlJc w:val="left"/>
      <w:pPr>
        <w:tabs>
          <w:tab w:val="num" w:pos="567"/>
        </w:tabs>
        <w:ind w:left="567" w:hanging="567"/>
      </w:pPr>
      <w:rPr>
        <w:rFonts w:hint="default"/>
      </w:rPr>
    </w:lvl>
    <w:lvl w:ilvl="2">
      <w:start w:val="1"/>
      <w:numFmt w:val="decimal"/>
      <w:pStyle w:val="Heading3a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1450C4"/>
    <w:multiLevelType w:val="hybridMultilevel"/>
    <w:tmpl w:val="51AC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743CE"/>
    <w:multiLevelType w:val="hybridMultilevel"/>
    <w:tmpl w:val="F7147CF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C48D3"/>
    <w:multiLevelType w:val="hybridMultilevel"/>
    <w:tmpl w:val="1E669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BB2792"/>
    <w:multiLevelType w:val="hybridMultilevel"/>
    <w:tmpl w:val="9D38F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C32DFE"/>
    <w:multiLevelType w:val="hybridMultilevel"/>
    <w:tmpl w:val="0270F598"/>
    <w:lvl w:ilvl="0" w:tplc="08090001">
      <w:start w:val="1"/>
      <w:numFmt w:val="bullet"/>
      <w:lvlText w:val=""/>
      <w:lvlJc w:val="left"/>
      <w:pPr>
        <w:ind w:left="360" w:hanging="360"/>
      </w:pPr>
      <w:rPr>
        <w:rFonts w:ascii="Symbol" w:hAnsi="Symbol" w:hint="default"/>
      </w:rPr>
    </w:lvl>
    <w:lvl w:ilvl="1" w:tplc="C37ACC2E">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66320"/>
    <w:multiLevelType w:val="hybridMultilevel"/>
    <w:tmpl w:val="1DA0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D1914"/>
    <w:multiLevelType w:val="singleLevel"/>
    <w:tmpl w:val="0809000F"/>
    <w:lvl w:ilvl="0">
      <w:start w:val="1"/>
      <w:numFmt w:val="decimal"/>
      <w:lvlText w:val="%1."/>
      <w:lvlJc w:val="left"/>
      <w:pPr>
        <w:ind w:left="567" w:hanging="567"/>
      </w:pPr>
      <w:rPr>
        <w:rFonts w:hint="default"/>
        <w:color w:val="4B4B4B"/>
        <w:sz w:val="20"/>
      </w:rPr>
    </w:lvl>
  </w:abstractNum>
  <w:abstractNum w:abstractNumId="12" w15:restartNumberingAfterBreak="0">
    <w:nsid w:val="213A78D4"/>
    <w:multiLevelType w:val="multilevel"/>
    <w:tmpl w:val="2E2E0CD8"/>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320DE5"/>
    <w:multiLevelType w:val="hybridMultilevel"/>
    <w:tmpl w:val="55C6E698"/>
    <w:lvl w:ilvl="0" w:tplc="08090017">
      <w:start w:val="1"/>
      <w:numFmt w:val="lowerLetter"/>
      <w:pStyle w:val="BulletHymansNew"/>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A0F3E"/>
    <w:multiLevelType w:val="hybridMultilevel"/>
    <w:tmpl w:val="F4E21A7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05595C"/>
    <w:multiLevelType w:val="hybridMultilevel"/>
    <w:tmpl w:val="EB90967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D879A5"/>
    <w:multiLevelType w:val="multilevel"/>
    <w:tmpl w:val="244CD00C"/>
    <w:numStyleLink w:val="HRBullet"/>
  </w:abstractNum>
  <w:abstractNum w:abstractNumId="17" w15:restartNumberingAfterBreak="0">
    <w:nsid w:val="334048DD"/>
    <w:multiLevelType w:val="multilevel"/>
    <w:tmpl w:val="8FF06830"/>
    <w:lvl w:ilvl="0">
      <w:start w:val="1"/>
      <w:numFmt w:val="lowerLetter"/>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A71D2"/>
    <w:multiLevelType w:val="multilevel"/>
    <w:tmpl w:val="91BA124A"/>
    <w:lvl w:ilvl="0">
      <w:start w:val="1"/>
      <w:numFmt w:val="bullet"/>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1F41E6"/>
    <w:multiLevelType w:val="multilevel"/>
    <w:tmpl w:val="244CD00C"/>
    <w:styleLink w:val="HRBullet"/>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127D83"/>
    <w:multiLevelType w:val="hybridMultilevel"/>
    <w:tmpl w:val="E228D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A71FCD"/>
    <w:multiLevelType w:val="hybridMultilevel"/>
    <w:tmpl w:val="854AC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8F5C5F"/>
    <w:multiLevelType w:val="hybridMultilevel"/>
    <w:tmpl w:val="C3DE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1304E"/>
    <w:multiLevelType w:val="multilevel"/>
    <w:tmpl w:val="91BA124A"/>
    <w:lvl w:ilvl="0">
      <w:start w:val="1"/>
      <w:numFmt w:val="bullet"/>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F64D11"/>
    <w:multiLevelType w:val="multilevel"/>
    <w:tmpl w:val="91BA124A"/>
    <w:lvl w:ilvl="0">
      <w:start w:val="1"/>
      <w:numFmt w:val="bullet"/>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876F2F"/>
    <w:multiLevelType w:val="multilevel"/>
    <w:tmpl w:val="7E3E6D1C"/>
    <w:lvl w:ilvl="0">
      <w:start w:val="1"/>
      <w:numFmt w:val="lowerLetter"/>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277788"/>
    <w:multiLevelType w:val="hybridMultilevel"/>
    <w:tmpl w:val="E8B0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56CA1"/>
    <w:multiLevelType w:val="hybridMultilevel"/>
    <w:tmpl w:val="71428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EB2C4A"/>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10161E"/>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06606F5"/>
    <w:multiLevelType w:val="hybridMultilevel"/>
    <w:tmpl w:val="382A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12202"/>
    <w:multiLevelType w:val="hybridMultilevel"/>
    <w:tmpl w:val="D284B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486361"/>
    <w:multiLevelType w:val="hybridMultilevel"/>
    <w:tmpl w:val="C40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155776"/>
    <w:multiLevelType w:val="hybridMultilevel"/>
    <w:tmpl w:val="FF60C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35" w15:restartNumberingAfterBreak="0">
    <w:nsid w:val="6D4C3BAE"/>
    <w:multiLevelType w:val="hybridMultilevel"/>
    <w:tmpl w:val="00C4C01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85216E"/>
    <w:multiLevelType w:val="hybridMultilevel"/>
    <w:tmpl w:val="4140A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FA420E"/>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395744F"/>
    <w:multiLevelType w:val="singleLevel"/>
    <w:tmpl w:val="0809000F"/>
    <w:lvl w:ilvl="0">
      <w:start w:val="1"/>
      <w:numFmt w:val="decimal"/>
      <w:lvlText w:val="%1."/>
      <w:lvlJc w:val="left"/>
      <w:pPr>
        <w:ind w:left="567" w:hanging="567"/>
      </w:pPr>
      <w:rPr>
        <w:rFonts w:hint="default"/>
        <w:color w:val="4B4B4B"/>
        <w:sz w:val="20"/>
      </w:rPr>
    </w:lvl>
  </w:abstractNum>
  <w:abstractNum w:abstractNumId="40" w15:restartNumberingAfterBreak="0">
    <w:nsid w:val="746924FB"/>
    <w:multiLevelType w:val="hybridMultilevel"/>
    <w:tmpl w:val="CF50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94FC2"/>
    <w:multiLevelType w:val="hybridMultilevel"/>
    <w:tmpl w:val="207A5F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6C3434"/>
    <w:multiLevelType w:val="multilevel"/>
    <w:tmpl w:val="17BE201A"/>
    <w:lvl w:ilvl="0">
      <w:start w:val="1"/>
      <w:numFmt w:val="decimal"/>
      <w:lvlText w:val="%1."/>
      <w:lvlJc w:val="left"/>
      <w:pPr>
        <w:ind w:left="567" w:hanging="567"/>
      </w:pPr>
      <w:rPr>
        <w:rFonts w:hint="default"/>
        <w:color w:val="4B4B4B"/>
        <w:sz w:val="20"/>
      </w:rPr>
    </w:lvl>
    <w:lvl w:ilvl="1">
      <w:start w:val="1"/>
      <w:numFmt w:val="lowerLetter"/>
      <w:lvlText w:val="%2."/>
      <w:lvlJc w:val="left"/>
      <w:pPr>
        <w:ind w:left="927" w:hanging="360"/>
      </w:p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0F23FB"/>
    <w:multiLevelType w:val="multilevel"/>
    <w:tmpl w:val="91BA124A"/>
    <w:lvl w:ilvl="0">
      <w:start w:val="1"/>
      <w:numFmt w:val="bullet"/>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9091149">
    <w:abstractNumId w:val="36"/>
  </w:num>
  <w:num w:numId="2" w16cid:durableId="1779520833">
    <w:abstractNumId w:val="19"/>
  </w:num>
  <w:num w:numId="3" w16cid:durableId="1251158897">
    <w:abstractNumId w:val="12"/>
  </w:num>
  <w:num w:numId="4" w16cid:durableId="2071221045">
    <w:abstractNumId w:val="2"/>
  </w:num>
  <w:num w:numId="5" w16cid:durableId="2036540513">
    <w:abstractNumId w:val="29"/>
  </w:num>
  <w:num w:numId="6" w16cid:durableId="1384869343">
    <w:abstractNumId w:val="41"/>
  </w:num>
  <w:num w:numId="7" w16cid:durableId="1886062681">
    <w:abstractNumId w:val="42"/>
  </w:num>
  <w:num w:numId="8" w16cid:durableId="1614050202">
    <w:abstractNumId w:val="6"/>
  </w:num>
  <w:num w:numId="9" w16cid:durableId="870918616">
    <w:abstractNumId w:val="34"/>
  </w:num>
  <w:num w:numId="10" w16cid:durableId="772214485">
    <w:abstractNumId w:val="5"/>
  </w:num>
  <w:num w:numId="11" w16cid:durableId="341862153">
    <w:abstractNumId w:val="37"/>
  </w:num>
  <w:num w:numId="12" w16cid:durableId="173348128">
    <w:abstractNumId w:val="13"/>
  </w:num>
  <w:num w:numId="13" w16cid:durableId="1930308508">
    <w:abstractNumId w:val="43"/>
  </w:num>
  <w:num w:numId="14" w16cid:durableId="2105488152">
    <w:abstractNumId w:val="25"/>
  </w:num>
  <w:num w:numId="15" w16cid:durableId="1046300517">
    <w:abstractNumId w:val="27"/>
  </w:num>
  <w:num w:numId="16" w16cid:durableId="1932540006">
    <w:abstractNumId w:val="8"/>
  </w:num>
  <w:num w:numId="17" w16cid:durableId="2099255112">
    <w:abstractNumId w:val="7"/>
  </w:num>
  <w:num w:numId="18" w16cid:durableId="2087534185">
    <w:abstractNumId w:val="38"/>
  </w:num>
  <w:num w:numId="19" w16cid:durableId="1655406268">
    <w:abstractNumId w:val="28"/>
  </w:num>
  <w:num w:numId="20" w16cid:durableId="1098453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8578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0112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4511617">
    <w:abstractNumId w:val="10"/>
  </w:num>
  <w:num w:numId="24" w16cid:durableId="111292711">
    <w:abstractNumId w:val="30"/>
  </w:num>
  <w:num w:numId="25" w16cid:durableId="1302927194">
    <w:abstractNumId w:val="20"/>
  </w:num>
  <w:num w:numId="26" w16cid:durableId="2133010602">
    <w:abstractNumId w:val="22"/>
  </w:num>
  <w:num w:numId="27" w16cid:durableId="235557251">
    <w:abstractNumId w:val="3"/>
  </w:num>
  <w:num w:numId="28" w16cid:durableId="581841194">
    <w:abstractNumId w:val="40"/>
  </w:num>
  <w:num w:numId="29" w16cid:durableId="1478452974">
    <w:abstractNumId w:val="1"/>
  </w:num>
  <w:num w:numId="30" w16cid:durableId="1646012380">
    <w:abstractNumId w:val="0"/>
  </w:num>
  <w:num w:numId="31" w16cid:durableId="297344781">
    <w:abstractNumId w:val="26"/>
  </w:num>
  <w:num w:numId="32" w16cid:durableId="544030307">
    <w:abstractNumId w:val="4"/>
  </w:num>
  <w:num w:numId="33" w16cid:durableId="330184103">
    <w:abstractNumId w:val="33"/>
  </w:num>
  <w:num w:numId="34" w16cid:durableId="399252871">
    <w:abstractNumId w:val="9"/>
  </w:num>
  <w:num w:numId="35" w16cid:durableId="1334458048">
    <w:abstractNumId w:val="31"/>
  </w:num>
  <w:num w:numId="36" w16cid:durableId="2089300841">
    <w:abstractNumId w:val="32"/>
  </w:num>
  <w:num w:numId="37" w16cid:durableId="24721966">
    <w:abstractNumId w:val="18"/>
  </w:num>
  <w:num w:numId="38" w16cid:durableId="1378313897">
    <w:abstractNumId w:val="39"/>
  </w:num>
  <w:num w:numId="39" w16cid:durableId="501428612">
    <w:abstractNumId w:val="24"/>
  </w:num>
  <w:num w:numId="40" w16cid:durableId="1136600977">
    <w:abstractNumId w:val="23"/>
  </w:num>
  <w:num w:numId="41" w16cid:durableId="1116948336">
    <w:abstractNumId w:val="45"/>
  </w:num>
  <w:num w:numId="42" w16cid:durableId="2085836502">
    <w:abstractNumId w:val="44"/>
  </w:num>
  <w:num w:numId="43" w16cid:durableId="1708682195">
    <w:abstractNumId w:val="21"/>
  </w:num>
  <w:num w:numId="44" w16cid:durableId="244463360">
    <w:abstractNumId w:val="17"/>
  </w:num>
  <w:num w:numId="45" w16cid:durableId="983630691">
    <w:abstractNumId w:val="15"/>
  </w:num>
  <w:num w:numId="46" w16cid:durableId="1860922814">
    <w:abstractNumId w:val="35"/>
  </w:num>
  <w:num w:numId="47" w16cid:durableId="1026902011">
    <w:abstractNumId w:val="14"/>
  </w:num>
  <w:num w:numId="48" w16cid:durableId="1491869303">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0B"/>
    <w:rsid w:val="0000623C"/>
    <w:rsid w:val="00035B6E"/>
    <w:rsid w:val="0007649E"/>
    <w:rsid w:val="000A7A81"/>
    <w:rsid w:val="000D4DFA"/>
    <w:rsid w:val="000D67BF"/>
    <w:rsid w:val="000F2D23"/>
    <w:rsid w:val="000F36CD"/>
    <w:rsid w:val="000F7142"/>
    <w:rsid w:val="00101F59"/>
    <w:rsid w:val="0010725D"/>
    <w:rsid w:val="00133E30"/>
    <w:rsid w:val="00141104"/>
    <w:rsid w:val="001431EE"/>
    <w:rsid w:val="0014651B"/>
    <w:rsid w:val="00163717"/>
    <w:rsid w:val="00170868"/>
    <w:rsid w:val="00194C13"/>
    <w:rsid w:val="00195D44"/>
    <w:rsid w:val="001B4E2B"/>
    <w:rsid w:val="001B65A0"/>
    <w:rsid w:val="001C33A6"/>
    <w:rsid w:val="001D74EF"/>
    <w:rsid w:val="001E0CF2"/>
    <w:rsid w:val="001F2416"/>
    <w:rsid w:val="00206DF4"/>
    <w:rsid w:val="00211690"/>
    <w:rsid w:val="002145F4"/>
    <w:rsid w:val="00214E1D"/>
    <w:rsid w:val="00216C96"/>
    <w:rsid w:val="0022312B"/>
    <w:rsid w:val="00244DF3"/>
    <w:rsid w:val="00246AAD"/>
    <w:rsid w:val="0025332D"/>
    <w:rsid w:val="00255BE6"/>
    <w:rsid w:val="00260122"/>
    <w:rsid w:val="00267B3C"/>
    <w:rsid w:val="00271A60"/>
    <w:rsid w:val="0027390E"/>
    <w:rsid w:val="002756DC"/>
    <w:rsid w:val="002803AC"/>
    <w:rsid w:val="00294E52"/>
    <w:rsid w:val="002A18AA"/>
    <w:rsid w:val="002A6F12"/>
    <w:rsid w:val="002B263B"/>
    <w:rsid w:val="002B37CC"/>
    <w:rsid w:val="002D0A9A"/>
    <w:rsid w:val="002F1485"/>
    <w:rsid w:val="002F2D24"/>
    <w:rsid w:val="00305131"/>
    <w:rsid w:val="00310D39"/>
    <w:rsid w:val="00317721"/>
    <w:rsid w:val="003213FC"/>
    <w:rsid w:val="003253F0"/>
    <w:rsid w:val="00357B15"/>
    <w:rsid w:val="00363432"/>
    <w:rsid w:val="00367B26"/>
    <w:rsid w:val="00373007"/>
    <w:rsid w:val="00385263"/>
    <w:rsid w:val="00391752"/>
    <w:rsid w:val="003B66D4"/>
    <w:rsid w:val="003B7B8E"/>
    <w:rsid w:val="003B7DB7"/>
    <w:rsid w:val="003D7683"/>
    <w:rsid w:val="003E3E53"/>
    <w:rsid w:val="0040397E"/>
    <w:rsid w:val="00421244"/>
    <w:rsid w:val="00432B59"/>
    <w:rsid w:val="004424B1"/>
    <w:rsid w:val="00473C87"/>
    <w:rsid w:val="0048046B"/>
    <w:rsid w:val="00484D62"/>
    <w:rsid w:val="00494A30"/>
    <w:rsid w:val="004A042A"/>
    <w:rsid w:val="004B0705"/>
    <w:rsid w:val="004B2532"/>
    <w:rsid w:val="004F423D"/>
    <w:rsid w:val="004F5930"/>
    <w:rsid w:val="004F7BE6"/>
    <w:rsid w:val="00502E46"/>
    <w:rsid w:val="00507922"/>
    <w:rsid w:val="00526A5C"/>
    <w:rsid w:val="0053584A"/>
    <w:rsid w:val="005408AC"/>
    <w:rsid w:val="00541C79"/>
    <w:rsid w:val="0054211F"/>
    <w:rsid w:val="00547599"/>
    <w:rsid w:val="005578D1"/>
    <w:rsid w:val="00572D0B"/>
    <w:rsid w:val="0057752F"/>
    <w:rsid w:val="00577D8A"/>
    <w:rsid w:val="00587017"/>
    <w:rsid w:val="00590C46"/>
    <w:rsid w:val="0059526A"/>
    <w:rsid w:val="005962D6"/>
    <w:rsid w:val="005A531C"/>
    <w:rsid w:val="005B3BCD"/>
    <w:rsid w:val="005B413A"/>
    <w:rsid w:val="005D2CC9"/>
    <w:rsid w:val="005E17CC"/>
    <w:rsid w:val="005E7DD8"/>
    <w:rsid w:val="005F10DB"/>
    <w:rsid w:val="00600DE8"/>
    <w:rsid w:val="00604F62"/>
    <w:rsid w:val="006242B8"/>
    <w:rsid w:val="006411DB"/>
    <w:rsid w:val="0064168B"/>
    <w:rsid w:val="0064599E"/>
    <w:rsid w:val="00664735"/>
    <w:rsid w:val="0068381F"/>
    <w:rsid w:val="006935A3"/>
    <w:rsid w:val="00695992"/>
    <w:rsid w:val="006A2B24"/>
    <w:rsid w:val="006A544B"/>
    <w:rsid w:val="006C745E"/>
    <w:rsid w:val="006D642C"/>
    <w:rsid w:val="006E0919"/>
    <w:rsid w:val="006E41CC"/>
    <w:rsid w:val="006F2F93"/>
    <w:rsid w:val="00737C74"/>
    <w:rsid w:val="00750067"/>
    <w:rsid w:val="00753EC4"/>
    <w:rsid w:val="0076065B"/>
    <w:rsid w:val="00764E4C"/>
    <w:rsid w:val="00777F78"/>
    <w:rsid w:val="007842AB"/>
    <w:rsid w:val="007921C5"/>
    <w:rsid w:val="007A3DEF"/>
    <w:rsid w:val="007A5359"/>
    <w:rsid w:val="007B3C84"/>
    <w:rsid w:val="007C2541"/>
    <w:rsid w:val="007C26A1"/>
    <w:rsid w:val="007D3B34"/>
    <w:rsid w:val="007E0157"/>
    <w:rsid w:val="00800382"/>
    <w:rsid w:val="008261B9"/>
    <w:rsid w:val="00836BA8"/>
    <w:rsid w:val="0085024B"/>
    <w:rsid w:val="008518A0"/>
    <w:rsid w:val="008931F9"/>
    <w:rsid w:val="00894D6B"/>
    <w:rsid w:val="008B6420"/>
    <w:rsid w:val="008B64E9"/>
    <w:rsid w:val="008D3486"/>
    <w:rsid w:val="008E3CBA"/>
    <w:rsid w:val="008F1655"/>
    <w:rsid w:val="00900D1D"/>
    <w:rsid w:val="00913D39"/>
    <w:rsid w:val="00917A9E"/>
    <w:rsid w:val="009317F3"/>
    <w:rsid w:val="0093367F"/>
    <w:rsid w:val="00936EB7"/>
    <w:rsid w:val="00937E89"/>
    <w:rsid w:val="00946A80"/>
    <w:rsid w:val="00954032"/>
    <w:rsid w:val="009619E2"/>
    <w:rsid w:val="00964375"/>
    <w:rsid w:val="00970D1B"/>
    <w:rsid w:val="00973438"/>
    <w:rsid w:val="00976359"/>
    <w:rsid w:val="00993EC6"/>
    <w:rsid w:val="009A2427"/>
    <w:rsid w:val="009B13D5"/>
    <w:rsid w:val="009B2567"/>
    <w:rsid w:val="009B7A25"/>
    <w:rsid w:val="009C28AC"/>
    <w:rsid w:val="009F445E"/>
    <w:rsid w:val="00A01DF8"/>
    <w:rsid w:val="00A0203A"/>
    <w:rsid w:val="00A0484B"/>
    <w:rsid w:val="00A0785C"/>
    <w:rsid w:val="00A22B61"/>
    <w:rsid w:val="00A25609"/>
    <w:rsid w:val="00A4723F"/>
    <w:rsid w:val="00A616A7"/>
    <w:rsid w:val="00A81A51"/>
    <w:rsid w:val="00AC1286"/>
    <w:rsid w:val="00AC3432"/>
    <w:rsid w:val="00AC692E"/>
    <w:rsid w:val="00AE21EB"/>
    <w:rsid w:val="00AE34F9"/>
    <w:rsid w:val="00B0318E"/>
    <w:rsid w:val="00B04BC7"/>
    <w:rsid w:val="00B10E10"/>
    <w:rsid w:val="00B2372C"/>
    <w:rsid w:val="00B374EE"/>
    <w:rsid w:val="00B45DB6"/>
    <w:rsid w:val="00B6170D"/>
    <w:rsid w:val="00B6329B"/>
    <w:rsid w:val="00B803B2"/>
    <w:rsid w:val="00B8053C"/>
    <w:rsid w:val="00B85AEF"/>
    <w:rsid w:val="00BA7D70"/>
    <w:rsid w:val="00BD32F8"/>
    <w:rsid w:val="00BD48D5"/>
    <w:rsid w:val="00BE0B3F"/>
    <w:rsid w:val="00BE6290"/>
    <w:rsid w:val="00BF6611"/>
    <w:rsid w:val="00C01288"/>
    <w:rsid w:val="00C06BA9"/>
    <w:rsid w:val="00C11287"/>
    <w:rsid w:val="00C30E79"/>
    <w:rsid w:val="00C3680F"/>
    <w:rsid w:val="00C36C65"/>
    <w:rsid w:val="00C61245"/>
    <w:rsid w:val="00C6610C"/>
    <w:rsid w:val="00C86722"/>
    <w:rsid w:val="00C869BE"/>
    <w:rsid w:val="00C92AEA"/>
    <w:rsid w:val="00C95839"/>
    <w:rsid w:val="00C9677C"/>
    <w:rsid w:val="00C96A71"/>
    <w:rsid w:val="00CA0184"/>
    <w:rsid w:val="00CD17DC"/>
    <w:rsid w:val="00D16818"/>
    <w:rsid w:val="00D2519C"/>
    <w:rsid w:val="00D26500"/>
    <w:rsid w:val="00D4277F"/>
    <w:rsid w:val="00D462B0"/>
    <w:rsid w:val="00D4756A"/>
    <w:rsid w:val="00D50680"/>
    <w:rsid w:val="00D70D5D"/>
    <w:rsid w:val="00D82AE0"/>
    <w:rsid w:val="00D85798"/>
    <w:rsid w:val="00D97D4F"/>
    <w:rsid w:val="00DA521A"/>
    <w:rsid w:val="00DB668C"/>
    <w:rsid w:val="00DC21CE"/>
    <w:rsid w:val="00DC4BD4"/>
    <w:rsid w:val="00DC56A2"/>
    <w:rsid w:val="00DD330D"/>
    <w:rsid w:val="00DD6123"/>
    <w:rsid w:val="00E04581"/>
    <w:rsid w:val="00E06DC8"/>
    <w:rsid w:val="00E06E99"/>
    <w:rsid w:val="00E1474D"/>
    <w:rsid w:val="00E26770"/>
    <w:rsid w:val="00E40BFE"/>
    <w:rsid w:val="00E52CAD"/>
    <w:rsid w:val="00E77D0E"/>
    <w:rsid w:val="00E82586"/>
    <w:rsid w:val="00E838CC"/>
    <w:rsid w:val="00E9525D"/>
    <w:rsid w:val="00EA213C"/>
    <w:rsid w:val="00ED654E"/>
    <w:rsid w:val="00F061C3"/>
    <w:rsid w:val="00F068AF"/>
    <w:rsid w:val="00F112B1"/>
    <w:rsid w:val="00F24544"/>
    <w:rsid w:val="00F502D3"/>
    <w:rsid w:val="00F5799E"/>
    <w:rsid w:val="00F6080A"/>
    <w:rsid w:val="00F92C67"/>
    <w:rsid w:val="00F93097"/>
    <w:rsid w:val="00F9314B"/>
    <w:rsid w:val="00FB39DC"/>
    <w:rsid w:val="00FB6BDD"/>
    <w:rsid w:val="00FC6E90"/>
    <w:rsid w:val="00FC7A56"/>
    <w:rsid w:val="00FF32AA"/>
    <w:rsid w:val="00FF74DA"/>
    <w:rsid w:val="276B6869"/>
    <w:rsid w:val="2B664CCE"/>
    <w:rsid w:val="2FAA689C"/>
    <w:rsid w:val="46DD7C46"/>
    <w:rsid w:val="4BCE966A"/>
    <w:rsid w:val="653CAAED"/>
    <w:rsid w:val="72D490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B6EF"/>
  <w15:chartTrackingRefBased/>
  <w15:docId w15:val="{2AC0CEFF-8E66-4722-B215-2FE0EF61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4"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34"/>
    <w:pPr>
      <w:spacing w:before="120" w:after="120" w:line="240" w:lineRule="auto"/>
      <w:textAlignment w:val="baseline"/>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8046B"/>
    <w:pPr>
      <w:keepNext/>
      <w:keepLines/>
      <w:spacing w:before="240" w:after="0"/>
      <w:outlineLvl w:val="0"/>
    </w:pPr>
    <w:rPr>
      <w:rFonts w:eastAsiaTheme="majorEastAsia" w:cs="Arial"/>
      <w:b/>
      <w:bCs/>
      <w:sz w:val="72"/>
      <w:szCs w:val="72"/>
    </w:rPr>
  </w:style>
  <w:style w:type="paragraph" w:styleId="Heading2">
    <w:name w:val="heading 2"/>
    <w:basedOn w:val="Heading1"/>
    <w:next w:val="Normal"/>
    <w:link w:val="Heading2Char"/>
    <w:unhideWhenUsed/>
    <w:qFormat/>
    <w:rsid w:val="002A6F12"/>
    <w:pPr>
      <w:pBdr>
        <w:bottom w:val="single" w:sz="4" w:space="4" w:color="auto"/>
      </w:pBdr>
      <w:spacing w:before="480" w:after="240"/>
      <w:outlineLvl w:val="1"/>
    </w:pPr>
    <w:rPr>
      <w:b w:val="0"/>
      <w:sz w:val="40"/>
      <w:szCs w:val="40"/>
    </w:rPr>
  </w:style>
  <w:style w:type="paragraph" w:styleId="Heading3">
    <w:name w:val="heading 3"/>
    <w:basedOn w:val="Normal"/>
    <w:next w:val="Normal"/>
    <w:link w:val="Heading3Char"/>
    <w:unhideWhenUsed/>
    <w:qFormat/>
    <w:rsid w:val="003B7B8E"/>
    <w:pPr>
      <w:keepNext/>
      <w:keepLines/>
      <w:spacing w:before="360"/>
      <w:outlineLvl w:val="2"/>
    </w:pPr>
    <w:rPr>
      <w:rFonts w:asciiTheme="minorBidi" w:eastAsiaTheme="majorEastAsia" w:hAnsiTheme="minorBidi" w:cstheme="minorBidi"/>
      <w:b/>
      <w:bCs/>
      <w:sz w:val="36"/>
      <w:szCs w:val="28"/>
    </w:rPr>
  </w:style>
  <w:style w:type="paragraph" w:styleId="Heading4">
    <w:name w:val="heading 4"/>
    <w:basedOn w:val="Normal"/>
    <w:next w:val="Normal"/>
    <w:link w:val="Heading4Char"/>
    <w:unhideWhenUsed/>
    <w:qFormat/>
    <w:rsid w:val="00DB668C"/>
    <w:pPr>
      <w:keepNext/>
      <w:keepLines/>
      <w:spacing w:before="240"/>
      <w:outlineLvl w:val="3"/>
    </w:pPr>
    <w:rPr>
      <w:rFonts w:asciiTheme="minorBidi" w:eastAsiaTheme="majorEastAsia" w:hAnsiTheme="minorBidi" w:cstheme="majorBidi"/>
      <w:b/>
      <w:iCs/>
    </w:rPr>
  </w:style>
  <w:style w:type="paragraph" w:styleId="Heading5">
    <w:name w:val="heading 5"/>
    <w:aliases w:val="Briefing note heading"/>
    <w:next w:val="Normal"/>
    <w:link w:val="Heading5Char"/>
    <w:uiPriority w:val="4"/>
    <w:unhideWhenUsed/>
    <w:rsid w:val="00373007"/>
    <w:pPr>
      <w:spacing w:before="240" w:after="60" w:line="240" w:lineRule="auto"/>
      <w:jc w:val="both"/>
      <w:outlineLvl w:val="4"/>
    </w:pPr>
    <w:rPr>
      <w:rFonts w:ascii="Arial" w:eastAsia="Times New Roman" w:hAnsi="Arial" w:cs="Tahoma"/>
      <w:color w:val="40A6CC"/>
      <w:spacing w:val="20"/>
      <w:sz w:val="20"/>
      <w:szCs w:val="146"/>
      <w:lang w:eastAsia="en-GB"/>
    </w:rPr>
  </w:style>
  <w:style w:type="paragraph" w:styleId="Heading6">
    <w:name w:val="heading 6"/>
    <w:basedOn w:val="Normal"/>
    <w:next w:val="Normal"/>
    <w:link w:val="Heading6Char"/>
    <w:uiPriority w:val="4"/>
    <w:unhideWhenUsed/>
    <w:rsid w:val="00373007"/>
    <w:pPr>
      <w:tabs>
        <w:tab w:val="num" w:pos="0"/>
      </w:tabs>
      <w:spacing w:before="240" w:after="60" w:line="280" w:lineRule="atLeast"/>
      <w:jc w:val="both"/>
      <w:textAlignment w:val="auto"/>
      <w:outlineLvl w:val="5"/>
    </w:pPr>
    <w:rPr>
      <w:rFonts w:cs="Arial"/>
      <w:i/>
      <w:iCs/>
      <w:color w:val="000000" w:themeColor="text1"/>
      <w:sz w:val="20"/>
      <w:szCs w:val="20"/>
    </w:rPr>
  </w:style>
  <w:style w:type="paragraph" w:styleId="Heading7">
    <w:name w:val="heading 7"/>
    <w:basedOn w:val="Normal"/>
    <w:next w:val="Normal"/>
    <w:link w:val="Heading7Char"/>
    <w:uiPriority w:val="4"/>
    <w:semiHidden/>
    <w:unhideWhenUsed/>
    <w:rsid w:val="00373007"/>
    <w:pPr>
      <w:tabs>
        <w:tab w:val="num" w:pos="0"/>
      </w:tabs>
      <w:spacing w:before="240" w:after="60" w:line="280" w:lineRule="atLeast"/>
      <w:jc w:val="both"/>
      <w:textAlignment w:val="auto"/>
      <w:outlineLvl w:val="6"/>
    </w:pPr>
    <w:rPr>
      <w:rFonts w:cs="Arial"/>
      <w:iCs/>
      <w:color w:val="000000" w:themeColor="text1"/>
      <w:szCs w:val="20"/>
    </w:rPr>
  </w:style>
  <w:style w:type="paragraph" w:styleId="Heading8">
    <w:name w:val="heading 8"/>
    <w:basedOn w:val="Normal"/>
    <w:link w:val="Heading8Char"/>
    <w:semiHidden/>
    <w:unhideWhenUsed/>
    <w:rsid w:val="00373007"/>
    <w:pPr>
      <w:tabs>
        <w:tab w:val="num" w:pos="0"/>
      </w:tabs>
      <w:spacing w:before="20" w:after="240" w:line="280" w:lineRule="atLeast"/>
      <w:ind w:left="720" w:hanging="720"/>
      <w:jc w:val="both"/>
      <w:textAlignment w:val="auto"/>
      <w:outlineLvl w:val="7"/>
    </w:pPr>
    <w:rPr>
      <w:rFonts w:cs="Arial"/>
      <w:b/>
      <w:iCs/>
      <w:color w:val="000000" w:themeColor="text1"/>
      <w:sz w:val="20"/>
      <w:szCs w:val="20"/>
    </w:rPr>
  </w:style>
  <w:style w:type="paragraph" w:styleId="Heading9">
    <w:name w:val="heading 9"/>
    <w:basedOn w:val="Normal"/>
    <w:link w:val="Heading9Char"/>
    <w:semiHidden/>
    <w:unhideWhenUsed/>
    <w:rsid w:val="00373007"/>
    <w:pPr>
      <w:tabs>
        <w:tab w:val="num" w:pos="0"/>
      </w:tabs>
      <w:spacing w:before="240" w:after="60" w:line="280" w:lineRule="atLeast"/>
      <w:ind w:left="3600" w:hanging="720"/>
      <w:jc w:val="both"/>
      <w:textAlignment w:val="auto"/>
      <w:outlineLvl w:val="8"/>
    </w:pPr>
    <w:rPr>
      <w:rFonts w:cs="Arial"/>
      <w:b/>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B34"/>
    <w:rPr>
      <w:color w:val="0563C1" w:themeColor="hyperlink"/>
      <w:u w:val="single"/>
    </w:rPr>
  </w:style>
  <w:style w:type="character" w:styleId="UnresolvedMention">
    <w:name w:val="Unresolved Mention"/>
    <w:basedOn w:val="DefaultParagraphFont"/>
    <w:uiPriority w:val="99"/>
    <w:semiHidden/>
    <w:unhideWhenUsed/>
    <w:rsid w:val="003253F0"/>
    <w:rPr>
      <w:color w:val="605E5C"/>
      <w:shd w:val="clear" w:color="auto" w:fill="E1DFDD"/>
    </w:rPr>
  </w:style>
  <w:style w:type="character" w:styleId="FollowedHyperlink">
    <w:name w:val="FollowedHyperlink"/>
    <w:basedOn w:val="DefaultParagraphFont"/>
    <w:uiPriority w:val="99"/>
    <w:semiHidden/>
    <w:unhideWhenUsed/>
    <w:rsid w:val="001C33A6"/>
    <w:rPr>
      <w:color w:val="954F72" w:themeColor="followedHyperlink"/>
      <w:u w:val="single"/>
    </w:rPr>
  </w:style>
  <w:style w:type="paragraph" w:styleId="Title">
    <w:name w:val="Title"/>
    <w:basedOn w:val="Heading1"/>
    <w:next w:val="Normal"/>
    <w:link w:val="TitleChar"/>
    <w:uiPriority w:val="3"/>
    <w:qFormat/>
    <w:rsid w:val="0048046B"/>
    <w:pPr>
      <w:ind w:left="1028" w:right="1184"/>
      <w:outlineLvl w:val="9"/>
    </w:pPr>
    <w:rPr>
      <w:bCs w:val="0"/>
    </w:rPr>
  </w:style>
  <w:style w:type="table" w:styleId="TableGrid">
    <w:name w:val="Table Grid"/>
    <w:basedOn w:val="TableNormal"/>
    <w:rsid w:val="00C6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4"/>
    <w:unhideWhenUsed/>
    <w:rsid w:val="00C61245"/>
    <w:pPr>
      <w:tabs>
        <w:tab w:val="center" w:pos="4680"/>
        <w:tab w:val="right" w:pos="9360"/>
      </w:tabs>
      <w:spacing w:after="0"/>
    </w:pPr>
  </w:style>
  <w:style w:type="character" w:customStyle="1" w:styleId="HeaderChar">
    <w:name w:val="Header Char"/>
    <w:basedOn w:val="DefaultParagraphFont"/>
    <w:link w:val="Header"/>
    <w:uiPriority w:val="4"/>
    <w:rsid w:val="00C61245"/>
  </w:style>
  <w:style w:type="paragraph" w:styleId="Footer">
    <w:name w:val="footer"/>
    <w:basedOn w:val="Normal"/>
    <w:link w:val="FooterChar"/>
    <w:uiPriority w:val="99"/>
    <w:unhideWhenUsed/>
    <w:rsid w:val="00C61245"/>
    <w:pPr>
      <w:tabs>
        <w:tab w:val="center" w:pos="4680"/>
        <w:tab w:val="right" w:pos="9360"/>
      </w:tabs>
      <w:spacing w:after="0"/>
    </w:pPr>
  </w:style>
  <w:style w:type="character" w:customStyle="1" w:styleId="FooterChar">
    <w:name w:val="Footer Char"/>
    <w:basedOn w:val="DefaultParagraphFont"/>
    <w:link w:val="Footer"/>
    <w:uiPriority w:val="99"/>
    <w:rsid w:val="00C61245"/>
  </w:style>
  <w:style w:type="character" w:customStyle="1" w:styleId="Heading1Char">
    <w:name w:val="Heading 1 Char"/>
    <w:basedOn w:val="DefaultParagraphFont"/>
    <w:link w:val="Heading1"/>
    <w:rsid w:val="0048046B"/>
    <w:rPr>
      <w:rFonts w:ascii="Arial" w:eastAsiaTheme="majorEastAsia" w:hAnsi="Arial" w:cs="Arial"/>
      <w:b/>
      <w:bCs/>
      <w:sz w:val="72"/>
      <w:szCs w:val="72"/>
      <w:lang w:eastAsia="en-GB"/>
    </w:rPr>
  </w:style>
  <w:style w:type="paragraph" w:styleId="ListParagraph">
    <w:name w:val="List Paragraph"/>
    <w:basedOn w:val="Normal"/>
    <w:uiPriority w:val="34"/>
    <w:qFormat/>
    <w:rsid w:val="007921C5"/>
    <w:pPr>
      <w:ind w:left="720"/>
      <w:contextualSpacing/>
    </w:pPr>
  </w:style>
  <w:style w:type="character" w:customStyle="1" w:styleId="Heading2Char">
    <w:name w:val="Heading 2 Char"/>
    <w:basedOn w:val="DefaultParagraphFont"/>
    <w:link w:val="Heading2"/>
    <w:rsid w:val="002A6F12"/>
    <w:rPr>
      <w:rFonts w:ascii="Arial" w:eastAsiaTheme="majorEastAsia" w:hAnsi="Arial" w:cs="Arial"/>
      <w:bCs/>
      <w:sz w:val="40"/>
      <w:szCs w:val="40"/>
      <w:lang w:eastAsia="en-GB"/>
    </w:rPr>
  </w:style>
  <w:style w:type="character" w:customStyle="1" w:styleId="Heading3Char">
    <w:name w:val="Heading 3 Char"/>
    <w:basedOn w:val="DefaultParagraphFont"/>
    <w:link w:val="Heading3"/>
    <w:rsid w:val="003B7B8E"/>
    <w:rPr>
      <w:rFonts w:asciiTheme="minorBidi" w:eastAsiaTheme="majorEastAsia" w:hAnsiTheme="minorBidi"/>
      <w:b/>
      <w:bCs/>
      <w:sz w:val="36"/>
      <w:szCs w:val="28"/>
      <w:lang w:eastAsia="en-GB"/>
    </w:rPr>
  </w:style>
  <w:style w:type="character" w:customStyle="1" w:styleId="TitleChar">
    <w:name w:val="Title Char"/>
    <w:basedOn w:val="DefaultParagraphFont"/>
    <w:link w:val="Title"/>
    <w:uiPriority w:val="3"/>
    <w:rsid w:val="0048046B"/>
    <w:rPr>
      <w:rFonts w:ascii="Arial" w:eastAsiaTheme="majorEastAsia" w:hAnsi="Arial" w:cs="Arial"/>
      <w:b/>
      <w:sz w:val="72"/>
      <w:szCs w:val="72"/>
      <w:lang w:eastAsia="en-GB"/>
    </w:rPr>
  </w:style>
  <w:style w:type="character" w:customStyle="1" w:styleId="Heading4Char">
    <w:name w:val="Heading 4 Char"/>
    <w:basedOn w:val="DefaultParagraphFont"/>
    <w:link w:val="Heading4"/>
    <w:rsid w:val="00DB668C"/>
    <w:rPr>
      <w:rFonts w:asciiTheme="minorBidi" w:eastAsiaTheme="majorEastAsia" w:hAnsiTheme="minorBidi" w:cstheme="majorBidi"/>
      <w:b/>
      <w:iCs/>
      <w:sz w:val="24"/>
      <w:szCs w:val="24"/>
      <w:lang w:eastAsia="en-GB"/>
    </w:rPr>
  </w:style>
  <w:style w:type="character" w:customStyle="1" w:styleId="normaltextrun">
    <w:name w:val="normaltextrun"/>
    <w:basedOn w:val="DefaultParagraphFont"/>
    <w:rsid w:val="00E1474D"/>
  </w:style>
  <w:style w:type="numbering" w:customStyle="1" w:styleId="HRBullet">
    <w:name w:val="HR Bullet"/>
    <w:uiPriority w:val="99"/>
    <w:rsid w:val="00DC4BD4"/>
    <w:pPr>
      <w:numPr>
        <w:numId w:val="2"/>
      </w:numPr>
    </w:pPr>
  </w:style>
  <w:style w:type="paragraph" w:customStyle="1" w:styleId="Heading2Num">
    <w:name w:val="Heading 2 Num"/>
    <w:basedOn w:val="Heading2"/>
    <w:next w:val="Normal"/>
    <w:link w:val="Heading2NumChar"/>
    <w:uiPriority w:val="1"/>
    <w:qFormat/>
    <w:rsid w:val="00E06E99"/>
    <w:pPr>
      <w:keepNext w:val="0"/>
      <w:keepLines w:val="0"/>
      <w:widowControl w:val="0"/>
      <w:pBdr>
        <w:bottom w:val="single" w:sz="8" w:space="4" w:color="auto"/>
      </w:pBdr>
      <w:tabs>
        <w:tab w:val="num" w:pos="567"/>
      </w:tabs>
      <w:spacing w:line="360" w:lineRule="atLeast"/>
      <w:ind w:left="567" w:hanging="567"/>
      <w:textAlignment w:val="auto"/>
    </w:pPr>
    <w:rPr>
      <w:rFonts w:eastAsia="Times New Roman" w:cs="Times New Roman"/>
      <w:bCs w:val="0"/>
      <w:kern w:val="28"/>
      <w:szCs w:val="48"/>
      <w:lang w:eastAsia="en-US"/>
    </w:rPr>
  </w:style>
  <w:style w:type="paragraph" w:customStyle="1" w:styleId="Heading3Num">
    <w:name w:val="Heading 3 Num"/>
    <w:basedOn w:val="Heading2"/>
    <w:next w:val="BodyTextGrey"/>
    <w:link w:val="Heading3NumChar"/>
    <w:uiPriority w:val="1"/>
    <w:qFormat/>
    <w:rsid w:val="00DB668C"/>
    <w:pPr>
      <w:numPr>
        <w:ilvl w:val="1"/>
        <w:numId w:val="4"/>
      </w:numPr>
      <w:pBdr>
        <w:bottom w:val="none" w:sz="0" w:space="0" w:color="auto"/>
      </w:pBdr>
      <w:spacing w:before="240" w:after="120"/>
      <w:ind w:left="0"/>
      <w:textAlignment w:val="auto"/>
    </w:pPr>
    <w:rPr>
      <w:rFonts w:eastAsia="Times New Roman"/>
      <w:b/>
      <w:bCs w:val="0"/>
      <w:iCs/>
      <w:sz w:val="24"/>
      <w:szCs w:val="20"/>
    </w:rPr>
  </w:style>
  <w:style w:type="paragraph" w:customStyle="1" w:styleId="Heading3aNum">
    <w:name w:val="Heading 3a Num"/>
    <w:basedOn w:val="Heading3"/>
    <w:next w:val="BodyTextGrey"/>
    <w:uiPriority w:val="1"/>
    <w:qFormat/>
    <w:rsid w:val="00DC4BD4"/>
    <w:pPr>
      <w:numPr>
        <w:ilvl w:val="2"/>
        <w:numId w:val="4"/>
      </w:numPr>
      <w:spacing w:before="20" w:after="20" w:line="280" w:lineRule="atLeast"/>
      <w:textAlignment w:val="auto"/>
    </w:pPr>
    <w:rPr>
      <w:rFonts w:ascii="Arial" w:eastAsia="Times New Roman" w:hAnsi="Arial" w:cs="Arial"/>
      <w:bCs w:val="0"/>
      <w:iCs/>
      <w:color w:val="000000" w:themeColor="text1"/>
      <w:sz w:val="20"/>
      <w:szCs w:val="20"/>
      <w:lang w:eastAsia="en-US"/>
    </w:rPr>
  </w:style>
  <w:style w:type="numbering" w:customStyle="1" w:styleId="HRNumber">
    <w:name w:val="HR Number"/>
    <w:uiPriority w:val="99"/>
    <w:rsid w:val="00DC4BD4"/>
    <w:pPr>
      <w:numPr>
        <w:numId w:val="3"/>
      </w:numPr>
    </w:pPr>
  </w:style>
  <w:style w:type="paragraph" w:customStyle="1" w:styleId="BodyTextGrey">
    <w:name w:val="Body Text Grey"/>
    <w:basedOn w:val="BodyText"/>
    <w:link w:val="BodyTextGreyChar"/>
    <w:qFormat/>
    <w:rsid w:val="002A6F12"/>
    <w:pPr>
      <w:textAlignment w:val="auto"/>
    </w:pPr>
    <w:rPr>
      <w:rFonts w:cs="Arial"/>
      <w:iCs/>
      <w:color w:val="4B4B4B"/>
      <w:sz w:val="20"/>
      <w:szCs w:val="20"/>
      <w:lang w:eastAsia="en-US"/>
    </w:rPr>
  </w:style>
  <w:style w:type="paragraph" w:customStyle="1" w:styleId="BulletHymans">
    <w:name w:val="Bullet Hymans"/>
    <w:link w:val="BulletHymansChar"/>
    <w:uiPriority w:val="2"/>
    <w:qFormat/>
    <w:rsid w:val="00DC4BD4"/>
    <w:pPr>
      <w:spacing w:before="20" w:after="140" w:line="280" w:lineRule="exact"/>
    </w:pPr>
    <w:rPr>
      <w:rFonts w:ascii="Arial" w:eastAsia="Times New Roman" w:hAnsi="Arial" w:cs="Arial"/>
      <w:iCs/>
      <w:color w:val="4B4B4B"/>
      <w:sz w:val="20"/>
      <w:szCs w:val="20"/>
    </w:rPr>
  </w:style>
  <w:style w:type="paragraph" w:customStyle="1" w:styleId="NumberHymans">
    <w:name w:val="Number Hymans"/>
    <w:uiPriority w:val="2"/>
    <w:qFormat/>
    <w:rsid w:val="00DC4BD4"/>
    <w:pPr>
      <w:numPr>
        <w:numId w:val="3"/>
      </w:numPr>
      <w:spacing w:before="20" w:after="140" w:line="280" w:lineRule="exact"/>
    </w:pPr>
    <w:rPr>
      <w:rFonts w:ascii="Arial" w:eastAsia="Times New Roman" w:hAnsi="Arial" w:cs="Arial"/>
      <w:iCs/>
      <w:color w:val="4B4B4B"/>
      <w:sz w:val="20"/>
      <w:szCs w:val="20"/>
    </w:rPr>
  </w:style>
  <w:style w:type="character" w:customStyle="1" w:styleId="BodyTextGreyChar">
    <w:name w:val="Body Text Grey Char"/>
    <w:basedOn w:val="DefaultParagraphFont"/>
    <w:link w:val="BodyTextGrey"/>
    <w:rsid w:val="002A6F12"/>
    <w:rPr>
      <w:rFonts w:ascii="Arial" w:eastAsia="Times New Roman" w:hAnsi="Arial" w:cs="Arial"/>
      <w:iCs/>
      <w:color w:val="4B4B4B"/>
      <w:sz w:val="20"/>
      <w:szCs w:val="20"/>
    </w:rPr>
  </w:style>
  <w:style w:type="character" w:customStyle="1" w:styleId="BulletHymansChar">
    <w:name w:val="Bullet Hymans Char"/>
    <w:basedOn w:val="DefaultParagraphFont"/>
    <w:link w:val="BulletHymans"/>
    <w:uiPriority w:val="2"/>
    <w:locked/>
    <w:rsid w:val="00DC4BD4"/>
    <w:rPr>
      <w:rFonts w:ascii="Arial" w:eastAsia="Times New Roman" w:hAnsi="Arial" w:cs="Arial"/>
      <w:iCs/>
      <w:color w:val="4B4B4B"/>
      <w:sz w:val="20"/>
      <w:szCs w:val="20"/>
    </w:rPr>
  </w:style>
  <w:style w:type="character" w:customStyle="1" w:styleId="Heading3NumChar">
    <w:name w:val="Heading 3 Num Char"/>
    <w:basedOn w:val="Heading2Char"/>
    <w:link w:val="Heading3Num"/>
    <w:uiPriority w:val="1"/>
    <w:rsid w:val="00DB668C"/>
    <w:rPr>
      <w:rFonts w:ascii="Arial" w:eastAsia="Times New Roman" w:hAnsi="Arial" w:cs="Arial"/>
      <w:b/>
      <w:bCs w:val="0"/>
      <w:iCs/>
      <w:sz w:val="24"/>
      <w:szCs w:val="20"/>
      <w:lang w:eastAsia="en-GB"/>
    </w:rPr>
  </w:style>
  <w:style w:type="paragraph" w:styleId="BodyText">
    <w:name w:val="Body Text"/>
    <w:aliases w:val="Body Text Black"/>
    <w:basedOn w:val="Normal"/>
    <w:link w:val="BodyTextChar"/>
    <w:unhideWhenUsed/>
    <w:rsid w:val="00DC4BD4"/>
  </w:style>
  <w:style w:type="character" w:customStyle="1" w:styleId="BodyTextChar">
    <w:name w:val="Body Text Char"/>
    <w:aliases w:val="Body Text Black Char"/>
    <w:basedOn w:val="DefaultParagraphFont"/>
    <w:link w:val="BodyText"/>
    <w:rsid w:val="00DC4BD4"/>
    <w:rPr>
      <w:rFonts w:ascii="Arial" w:eastAsia="Times New Roman" w:hAnsi="Arial" w:cs="Times New Roman"/>
      <w:sz w:val="24"/>
      <w:szCs w:val="24"/>
      <w:lang w:eastAsia="en-GB"/>
    </w:rPr>
  </w:style>
  <w:style w:type="character" w:customStyle="1" w:styleId="Heading5Char">
    <w:name w:val="Heading 5 Char"/>
    <w:aliases w:val="Briefing note heading Char"/>
    <w:basedOn w:val="DefaultParagraphFont"/>
    <w:link w:val="Heading5"/>
    <w:uiPriority w:val="4"/>
    <w:rsid w:val="0037300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373007"/>
    <w:rPr>
      <w:rFonts w:ascii="Arial" w:eastAsia="Times New Roman" w:hAnsi="Arial" w:cs="Arial"/>
      <w:i/>
      <w:iCs/>
      <w:color w:val="000000" w:themeColor="text1"/>
      <w:sz w:val="20"/>
      <w:szCs w:val="20"/>
      <w:lang w:eastAsia="en-GB"/>
    </w:rPr>
  </w:style>
  <w:style w:type="character" w:customStyle="1" w:styleId="Heading7Char">
    <w:name w:val="Heading 7 Char"/>
    <w:basedOn w:val="DefaultParagraphFont"/>
    <w:link w:val="Heading7"/>
    <w:uiPriority w:val="4"/>
    <w:semiHidden/>
    <w:rsid w:val="00373007"/>
    <w:rPr>
      <w:rFonts w:ascii="Arial" w:eastAsia="Times New Roman" w:hAnsi="Arial" w:cs="Arial"/>
      <w:iCs/>
      <w:color w:val="000000" w:themeColor="text1"/>
      <w:sz w:val="24"/>
      <w:szCs w:val="20"/>
      <w:lang w:eastAsia="en-GB"/>
    </w:rPr>
  </w:style>
  <w:style w:type="character" w:customStyle="1" w:styleId="Heading8Char">
    <w:name w:val="Heading 8 Char"/>
    <w:basedOn w:val="DefaultParagraphFont"/>
    <w:link w:val="Heading8"/>
    <w:semiHidden/>
    <w:rsid w:val="00373007"/>
    <w:rPr>
      <w:rFonts w:ascii="Arial" w:eastAsia="Times New Roman" w:hAnsi="Arial" w:cs="Arial"/>
      <w:b/>
      <w:iCs/>
      <w:color w:val="000000" w:themeColor="text1"/>
      <w:sz w:val="20"/>
      <w:szCs w:val="20"/>
      <w:lang w:eastAsia="en-GB"/>
    </w:rPr>
  </w:style>
  <w:style w:type="character" w:customStyle="1" w:styleId="Heading9Char">
    <w:name w:val="Heading 9 Char"/>
    <w:basedOn w:val="DefaultParagraphFont"/>
    <w:link w:val="Heading9"/>
    <w:semiHidden/>
    <w:rsid w:val="00373007"/>
    <w:rPr>
      <w:rFonts w:ascii="Arial" w:eastAsia="Times New Roman" w:hAnsi="Arial" w:cs="Arial"/>
      <w:b/>
      <w:iCs/>
      <w:color w:val="000000" w:themeColor="text1"/>
      <w:sz w:val="20"/>
      <w:szCs w:val="20"/>
      <w:lang w:eastAsia="en-GB"/>
    </w:rPr>
  </w:style>
  <w:style w:type="paragraph" w:customStyle="1" w:styleId="Appendix1">
    <w:name w:val="Appendix 1"/>
    <w:basedOn w:val="Heading1"/>
    <w:next w:val="BodyTextGrey"/>
    <w:uiPriority w:val="3"/>
    <w:qFormat/>
    <w:rsid w:val="00373007"/>
    <w:pPr>
      <w:pageBreakBefore/>
      <w:spacing w:before="140" w:after="140" w:line="360" w:lineRule="atLeast"/>
      <w:textAlignment w:val="auto"/>
    </w:pPr>
    <w:rPr>
      <w:rFonts w:eastAsia="Times New Roman" w:cs="Times New Roman"/>
      <w:b w:val="0"/>
      <w:bCs w:val="0"/>
      <w:kern w:val="28"/>
      <w:sz w:val="36"/>
      <w:szCs w:val="20"/>
      <w:lang w:eastAsia="en-US"/>
    </w:rPr>
  </w:style>
  <w:style w:type="paragraph" w:customStyle="1" w:styleId="Appendix2">
    <w:name w:val="Appendix 2"/>
    <w:basedOn w:val="Heading2"/>
    <w:next w:val="BodyTextGrey"/>
    <w:uiPriority w:val="3"/>
    <w:qFormat/>
    <w:rsid w:val="00DB668C"/>
    <w:pPr>
      <w:pBdr>
        <w:bottom w:val="none" w:sz="0" w:space="0" w:color="auto"/>
      </w:pBdr>
      <w:spacing w:before="240" w:after="120"/>
      <w:ind w:hanging="567"/>
      <w:textAlignment w:val="auto"/>
    </w:pPr>
    <w:rPr>
      <w:rFonts w:eastAsia="Times New Roman"/>
      <w:b/>
      <w:bCs w:val="0"/>
      <w:iCs/>
      <w:sz w:val="24"/>
      <w:szCs w:val="22"/>
      <w:lang w:eastAsia="en-US"/>
    </w:rPr>
  </w:style>
  <w:style w:type="paragraph" w:customStyle="1" w:styleId="Appendix3">
    <w:name w:val="Appendix 3"/>
    <w:basedOn w:val="Heading3"/>
    <w:next w:val="BodyTextGrey"/>
    <w:uiPriority w:val="3"/>
    <w:qFormat/>
    <w:rsid w:val="00373007"/>
    <w:pPr>
      <w:spacing w:before="20" w:after="20" w:line="280" w:lineRule="atLeast"/>
      <w:textAlignment w:val="auto"/>
    </w:pPr>
    <w:rPr>
      <w:rFonts w:ascii="Arial" w:eastAsia="Times New Roman" w:hAnsi="Arial" w:cs="Arial"/>
      <w:bCs w:val="0"/>
      <w:iCs/>
      <w:color w:val="000000" w:themeColor="text1"/>
      <w:sz w:val="20"/>
      <w:szCs w:val="20"/>
      <w:lang w:eastAsia="en-US"/>
    </w:rPr>
  </w:style>
  <w:style w:type="paragraph" w:customStyle="1" w:styleId="FooterText">
    <w:name w:val="Footer Text"/>
    <w:basedOn w:val="Normal"/>
    <w:uiPriority w:val="4"/>
    <w:rsid w:val="00373007"/>
    <w:pPr>
      <w:keepLines/>
      <w:pBdr>
        <w:top w:val="single" w:sz="2" w:space="4" w:color="646464"/>
      </w:pBdr>
      <w:spacing w:before="20" w:after="0" w:line="280" w:lineRule="atLeast"/>
      <w:ind w:left="-425"/>
      <w:textAlignment w:val="auto"/>
    </w:pPr>
    <w:rPr>
      <w:rFonts w:cs="Arial"/>
      <w:iCs/>
      <w:color w:val="4B4B4B"/>
      <w:sz w:val="20"/>
      <w:szCs w:val="20"/>
    </w:rPr>
  </w:style>
  <w:style w:type="paragraph" w:customStyle="1" w:styleId="FreedomHeading">
    <w:name w:val="Freedom Heading"/>
    <w:basedOn w:val="Heading1"/>
    <w:next w:val="Normal"/>
    <w:uiPriority w:val="4"/>
    <w:rsid w:val="00373007"/>
    <w:pPr>
      <w:spacing w:before="140" w:after="140" w:line="360" w:lineRule="atLeast"/>
      <w:textAlignment w:val="auto"/>
    </w:pPr>
    <w:rPr>
      <w:rFonts w:eastAsia="Times New Roman" w:cs="Times New Roman"/>
      <w:b w:val="0"/>
      <w:bCs w:val="0"/>
      <w:caps/>
      <w:color w:val="40A6CC"/>
      <w:kern w:val="28"/>
      <w:sz w:val="36"/>
      <w:szCs w:val="20"/>
      <w:lang w:eastAsia="en-US"/>
    </w:rPr>
  </w:style>
  <w:style w:type="paragraph" w:customStyle="1" w:styleId="hBullet1">
    <w:name w:val="hBullet1"/>
    <w:basedOn w:val="Normal"/>
    <w:uiPriority w:val="3"/>
    <w:rsid w:val="00373007"/>
    <w:pPr>
      <w:widowControl w:val="0"/>
      <w:numPr>
        <w:numId w:val="6"/>
      </w:numPr>
      <w:spacing w:line="280" w:lineRule="atLeast"/>
      <w:textAlignment w:val="auto"/>
    </w:pPr>
    <w:rPr>
      <w:sz w:val="20"/>
    </w:rPr>
  </w:style>
  <w:style w:type="paragraph" w:customStyle="1" w:styleId="hBullet2">
    <w:name w:val="hBullet2"/>
    <w:basedOn w:val="Normal"/>
    <w:uiPriority w:val="3"/>
    <w:rsid w:val="00373007"/>
    <w:pPr>
      <w:widowControl w:val="0"/>
      <w:numPr>
        <w:numId w:val="7"/>
      </w:numPr>
      <w:spacing w:line="280" w:lineRule="atLeast"/>
      <w:textAlignment w:val="auto"/>
    </w:pPr>
    <w:rPr>
      <w:sz w:val="20"/>
    </w:rPr>
  </w:style>
  <w:style w:type="paragraph" w:customStyle="1" w:styleId="hBullet3">
    <w:name w:val="hBullet3"/>
    <w:basedOn w:val="Normal"/>
    <w:uiPriority w:val="3"/>
    <w:rsid w:val="00373007"/>
    <w:pPr>
      <w:widowControl w:val="0"/>
      <w:numPr>
        <w:numId w:val="8"/>
      </w:numPr>
      <w:spacing w:line="280" w:lineRule="atLeast"/>
      <w:textAlignment w:val="auto"/>
    </w:pPr>
    <w:rPr>
      <w:sz w:val="20"/>
    </w:rPr>
  </w:style>
  <w:style w:type="paragraph" w:customStyle="1" w:styleId="hBullets">
    <w:name w:val="hBullets"/>
    <w:uiPriority w:val="3"/>
    <w:rsid w:val="00373007"/>
    <w:pPr>
      <w:numPr>
        <w:numId w:val="9"/>
      </w:numPr>
      <w:spacing w:before="20" w:after="20" w:line="280" w:lineRule="atLeast"/>
    </w:pPr>
    <w:rPr>
      <w:rFonts w:ascii="Arial" w:eastAsia="Times New Roman" w:hAnsi="Arial" w:cs="Times New Roman"/>
      <w:color w:val="4B4B4B"/>
      <w:sz w:val="20"/>
      <w:szCs w:val="24"/>
      <w:lang w:eastAsia="en-GB"/>
    </w:rPr>
  </w:style>
  <w:style w:type="paragraph" w:customStyle="1" w:styleId="hNumber1">
    <w:name w:val="hNumber1"/>
    <w:uiPriority w:val="3"/>
    <w:rsid w:val="00373007"/>
    <w:pPr>
      <w:widowControl w:val="0"/>
      <w:numPr>
        <w:numId w:val="10"/>
      </w:numPr>
      <w:spacing w:before="20" w:after="20" w:line="280" w:lineRule="atLeast"/>
    </w:pPr>
    <w:rPr>
      <w:rFonts w:ascii="Arial" w:eastAsia="Times New Roman" w:hAnsi="Arial" w:cs="Times New Roman"/>
      <w:color w:val="4B4B4B"/>
      <w:sz w:val="20"/>
      <w:szCs w:val="24"/>
      <w:lang w:eastAsia="en-GB"/>
    </w:rPr>
  </w:style>
  <w:style w:type="paragraph" w:customStyle="1" w:styleId="HymanHeader">
    <w:name w:val="HymanHeader"/>
    <w:basedOn w:val="Normal"/>
    <w:uiPriority w:val="3"/>
    <w:rsid w:val="00373007"/>
    <w:pPr>
      <w:pBdr>
        <w:top w:val="single" w:sz="2" w:space="4" w:color="646464"/>
      </w:pBdr>
      <w:spacing w:before="20" w:after="200" w:line="280" w:lineRule="atLeast"/>
      <w:ind w:left="-425"/>
      <w:textAlignment w:val="auto"/>
    </w:pPr>
    <w:rPr>
      <w:rFonts w:cs="Arial"/>
      <w:iCs/>
      <w:color w:val="4B4B4B"/>
      <w:sz w:val="20"/>
      <w:szCs w:val="20"/>
      <w:lang w:val="fr-FR"/>
    </w:rPr>
  </w:style>
  <w:style w:type="paragraph" w:customStyle="1" w:styleId="LetterDate">
    <w:name w:val="Letter Date"/>
    <w:basedOn w:val="Normal"/>
    <w:uiPriority w:val="3"/>
    <w:rsid w:val="00373007"/>
    <w:pPr>
      <w:spacing w:before="480" w:after="480" w:line="280" w:lineRule="atLeast"/>
      <w:textAlignment w:val="auto"/>
    </w:pPr>
    <w:rPr>
      <w:iCs/>
      <w:color w:val="646464"/>
      <w:sz w:val="20"/>
      <w:szCs w:val="28"/>
    </w:rPr>
  </w:style>
  <w:style w:type="paragraph" w:customStyle="1" w:styleId="ListBullet-Hymans">
    <w:name w:val="List Bullet - Hymans"/>
    <w:basedOn w:val="Normal"/>
    <w:uiPriority w:val="3"/>
    <w:rsid w:val="00373007"/>
    <w:pPr>
      <w:tabs>
        <w:tab w:val="num" w:pos="360"/>
      </w:tabs>
      <w:spacing w:before="20" w:after="0" w:line="280" w:lineRule="atLeast"/>
      <w:ind w:left="360" w:hanging="360"/>
      <w:jc w:val="both"/>
      <w:textAlignment w:val="auto"/>
    </w:pPr>
    <w:rPr>
      <w:rFonts w:cs="Arial"/>
      <w:iCs/>
      <w:color w:val="000000" w:themeColor="text1"/>
      <w:sz w:val="20"/>
      <w:szCs w:val="20"/>
    </w:rPr>
  </w:style>
  <w:style w:type="paragraph" w:customStyle="1" w:styleId="NormalLeft">
    <w:name w:val="Normal Left"/>
    <w:basedOn w:val="Normal"/>
    <w:uiPriority w:val="3"/>
    <w:rsid w:val="00373007"/>
    <w:pPr>
      <w:spacing w:before="20" w:after="0" w:line="280" w:lineRule="atLeast"/>
      <w:ind w:left="-400"/>
      <w:jc w:val="both"/>
      <w:textAlignment w:val="auto"/>
    </w:pPr>
    <w:rPr>
      <w:iCs/>
      <w:color w:val="000000" w:themeColor="text1"/>
      <w:sz w:val="20"/>
      <w:szCs w:val="20"/>
    </w:rPr>
  </w:style>
  <w:style w:type="paragraph" w:customStyle="1" w:styleId="Signatory">
    <w:name w:val="Signatory"/>
    <w:basedOn w:val="Normal"/>
    <w:uiPriority w:val="3"/>
    <w:rsid w:val="00373007"/>
    <w:pPr>
      <w:spacing w:before="20" w:after="200" w:line="280" w:lineRule="atLeast"/>
      <w:textAlignment w:val="auto"/>
    </w:pPr>
    <w:rPr>
      <w:rFonts w:cs="Arial"/>
      <w:iCs/>
      <w:sz w:val="16"/>
      <w:szCs w:val="20"/>
    </w:rPr>
  </w:style>
  <w:style w:type="paragraph" w:customStyle="1" w:styleId="StyleLeft45cm">
    <w:name w:val="Style Left:  4.5 cm"/>
    <w:basedOn w:val="Normal"/>
    <w:uiPriority w:val="3"/>
    <w:rsid w:val="00373007"/>
    <w:pPr>
      <w:spacing w:before="20" w:after="0" w:line="280" w:lineRule="atLeast"/>
      <w:ind w:left="2552"/>
      <w:jc w:val="both"/>
      <w:textAlignment w:val="auto"/>
    </w:pPr>
    <w:rPr>
      <w:iCs/>
      <w:color w:val="000000" w:themeColor="text1"/>
      <w:sz w:val="20"/>
      <w:szCs w:val="20"/>
    </w:rPr>
  </w:style>
  <w:style w:type="paragraph" w:customStyle="1" w:styleId="StyleTenderVerticalSmallLeftBefore1ptAfter1pt">
    <w:name w:val="Style Tender Vertical Small + Left Before:  1 pt After:  1 pt"/>
    <w:basedOn w:val="TenderVerticalSmall"/>
    <w:rsid w:val="00373007"/>
    <w:pPr>
      <w:spacing w:after="20"/>
      <w:jc w:val="left"/>
    </w:pPr>
    <w:rPr>
      <w:rFonts w:cs="Times New Roman"/>
      <w:iCs w:val="0"/>
      <w:szCs w:val="20"/>
    </w:rPr>
  </w:style>
  <w:style w:type="paragraph" w:customStyle="1" w:styleId="TableColumn1">
    <w:name w:val="Table Column1"/>
    <w:basedOn w:val="TableHeader"/>
    <w:autoRedefine/>
    <w:uiPriority w:val="3"/>
    <w:rsid w:val="00373007"/>
  </w:style>
  <w:style w:type="paragraph" w:customStyle="1" w:styleId="TableHeader">
    <w:name w:val="Table Header"/>
    <w:basedOn w:val="TableText"/>
    <w:uiPriority w:val="3"/>
    <w:rsid w:val="00373007"/>
    <w:pPr>
      <w:spacing w:after="20"/>
    </w:pPr>
    <w:rPr>
      <w:color w:val="FFFFFF"/>
    </w:rPr>
  </w:style>
  <w:style w:type="paragraph" w:customStyle="1" w:styleId="TableText">
    <w:name w:val="Table Text"/>
    <w:basedOn w:val="Normal"/>
    <w:uiPriority w:val="3"/>
    <w:rsid w:val="00373007"/>
    <w:pPr>
      <w:spacing w:before="20" w:after="200" w:line="280" w:lineRule="atLeast"/>
      <w:textAlignment w:val="auto"/>
    </w:pPr>
    <w:rPr>
      <w:rFonts w:cs="Arial"/>
      <w:iCs/>
      <w:sz w:val="20"/>
      <w:szCs w:val="20"/>
    </w:rPr>
  </w:style>
  <w:style w:type="paragraph" w:customStyle="1" w:styleId="TableHeaderText-Hymans">
    <w:name w:val="TableHeaderText - Hymans"/>
    <w:basedOn w:val="Normal"/>
    <w:uiPriority w:val="3"/>
    <w:rsid w:val="00373007"/>
    <w:pPr>
      <w:spacing w:before="20" w:after="0" w:line="280" w:lineRule="atLeast"/>
      <w:jc w:val="both"/>
      <w:textAlignment w:val="auto"/>
    </w:pPr>
    <w:rPr>
      <w:rFonts w:ascii="Times New Roman" w:hAnsi="Times New Roman"/>
      <w:iCs/>
      <w:color w:val="000000" w:themeColor="text1"/>
    </w:rPr>
  </w:style>
  <w:style w:type="paragraph" w:customStyle="1" w:styleId="TableSpacer">
    <w:name w:val="TableSpacer"/>
    <w:basedOn w:val="Normal"/>
    <w:next w:val="Heading2"/>
    <w:uiPriority w:val="3"/>
    <w:rsid w:val="00373007"/>
    <w:pPr>
      <w:spacing w:before="240" w:after="0" w:line="280" w:lineRule="atLeast"/>
      <w:jc w:val="both"/>
      <w:textAlignment w:val="auto"/>
    </w:pPr>
    <w:rPr>
      <w:rFonts w:cs="Arial"/>
      <w:iCs/>
      <w:color w:val="FFFFFF"/>
      <w:szCs w:val="20"/>
    </w:rPr>
  </w:style>
  <w:style w:type="paragraph" w:customStyle="1" w:styleId="TableText-Hymans">
    <w:name w:val="TableText - Hymans"/>
    <w:basedOn w:val="Normal"/>
    <w:uiPriority w:val="3"/>
    <w:rsid w:val="00373007"/>
    <w:pPr>
      <w:spacing w:before="20" w:after="0" w:line="280" w:lineRule="atLeast"/>
      <w:jc w:val="both"/>
      <w:textAlignment w:val="auto"/>
    </w:pPr>
    <w:rPr>
      <w:rFonts w:ascii="Times New Roman" w:hAnsi="Times New Roman"/>
      <w:iCs/>
      <w:color w:val="000000" w:themeColor="text1"/>
    </w:rPr>
  </w:style>
  <w:style w:type="paragraph" w:customStyle="1" w:styleId="TenderAppendix">
    <w:name w:val="Tender Appendix"/>
    <w:next w:val="Normal"/>
    <w:uiPriority w:val="3"/>
    <w:rsid w:val="00373007"/>
    <w:pPr>
      <w:keepNext/>
      <w:keepLines/>
      <w:spacing w:before="20" w:after="0" w:line="240" w:lineRule="auto"/>
    </w:pPr>
    <w:rPr>
      <w:rFonts w:ascii="Arial" w:eastAsia="Times New Roman" w:hAnsi="Arial" w:cs="Times New Roman"/>
      <w:caps/>
      <w:color w:val="40A6CC"/>
      <w:sz w:val="36"/>
      <w:szCs w:val="20"/>
      <w:lang w:eastAsia="en-GB"/>
    </w:rPr>
  </w:style>
  <w:style w:type="paragraph" w:customStyle="1" w:styleId="TenderBluetext">
    <w:name w:val="Tender Blue text"/>
    <w:basedOn w:val="Normal"/>
    <w:rsid w:val="00373007"/>
    <w:pPr>
      <w:tabs>
        <w:tab w:val="right" w:pos="6271"/>
      </w:tabs>
      <w:spacing w:after="0" w:line="280" w:lineRule="atLeast"/>
      <w:textAlignment w:val="auto"/>
    </w:pPr>
    <w:rPr>
      <w:color w:val="3FA6CC"/>
      <w:sz w:val="20"/>
      <w:szCs w:val="20"/>
    </w:rPr>
  </w:style>
  <w:style w:type="paragraph" w:customStyle="1" w:styleId="TenderBullet">
    <w:name w:val="Tender Bullet"/>
    <w:basedOn w:val="Normal"/>
    <w:uiPriority w:val="3"/>
    <w:rsid w:val="00373007"/>
    <w:pPr>
      <w:tabs>
        <w:tab w:val="num" w:pos="360"/>
      </w:tabs>
      <w:spacing w:before="20" w:after="240" w:line="280" w:lineRule="atLeast"/>
      <w:ind w:left="360" w:right="-3" w:hanging="360"/>
      <w:jc w:val="both"/>
      <w:textAlignment w:val="auto"/>
    </w:pPr>
    <w:rPr>
      <w:rFonts w:cs="Arial"/>
      <w:b/>
      <w:iCs/>
      <w:color w:val="000000" w:themeColor="text1"/>
      <w:sz w:val="20"/>
      <w:szCs w:val="20"/>
    </w:rPr>
  </w:style>
  <w:style w:type="paragraph" w:customStyle="1" w:styleId="TenderH1">
    <w:name w:val="Tender H1"/>
    <w:next w:val="Normal"/>
    <w:uiPriority w:val="3"/>
    <w:rsid w:val="00373007"/>
    <w:pPr>
      <w:keepNext/>
      <w:keepLines/>
      <w:tabs>
        <w:tab w:val="num" w:pos="0"/>
      </w:tabs>
      <w:spacing w:before="20" w:after="360" w:line="240" w:lineRule="auto"/>
      <w:ind w:hanging="403"/>
    </w:pPr>
    <w:rPr>
      <w:rFonts w:ascii="Arial" w:eastAsia="Times New Roman" w:hAnsi="Arial" w:cs="Times New Roman"/>
      <w:caps/>
      <w:color w:val="40A6CC"/>
      <w:sz w:val="36"/>
      <w:szCs w:val="20"/>
      <w:lang w:eastAsia="en-GB"/>
    </w:rPr>
  </w:style>
  <w:style w:type="paragraph" w:customStyle="1" w:styleId="TenderH2">
    <w:name w:val="Tender H2"/>
    <w:basedOn w:val="Normal"/>
    <w:next w:val="Normal"/>
    <w:uiPriority w:val="3"/>
    <w:rsid w:val="00373007"/>
    <w:pPr>
      <w:keepNext/>
      <w:keepLines/>
      <w:tabs>
        <w:tab w:val="num" w:pos="0"/>
      </w:tabs>
      <w:spacing w:before="20" w:after="0" w:line="280" w:lineRule="atLeast"/>
      <w:jc w:val="both"/>
      <w:textAlignment w:val="auto"/>
    </w:pPr>
    <w:rPr>
      <w:rFonts w:cs="Arial"/>
      <w:iCs/>
      <w:caps/>
      <w:color w:val="F06A00"/>
      <w:sz w:val="20"/>
      <w:szCs w:val="20"/>
    </w:rPr>
  </w:style>
  <w:style w:type="paragraph" w:customStyle="1" w:styleId="TenderIntro">
    <w:name w:val="Tender Intro"/>
    <w:uiPriority w:val="3"/>
    <w:rsid w:val="00373007"/>
    <w:pPr>
      <w:spacing w:before="20" w:after="360" w:line="240" w:lineRule="auto"/>
      <w:ind w:left="-403"/>
    </w:pPr>
    <w:rPr>
      <w:rFonts w:ascii="Arial" w:eastAsia="Times New Roman" w:hAnsi="Arial" w:cs="Times New Roman"/>
      <w:caps/>
      <w:color w:val="40A6CC"/>
      <w:sz w:val="36"/>
      <w:szCs w:val="20"/>
      <w:lang w:eastAsia="en-GB"/>
    </w:rPr>
  </w:style>
  <w:style w:type="paragraph" w:customStyle="1" w:styleId="TenderQuestion">
    <w:name w:val="Tender Question"/>
    <w:next w:val="BodyTextGrey"/>
    <w:qFormat/>
    <w:rsid w:val="00373007"/>
    <w:pPr>
      <w:numPr>
        <w:numId w:val="11"/>
      </w:numPr>
      <w:tabs>
        <w:tab w:val="left" w:pos="567"/>
      </w:tabs>
      <w:spacing w:before="20" w:after="20" w:line="240" w:lineRule="auto"/>
    </w:pPr>
    <w:rPr>
      <w:rFonts w:ascii="Arial" w:eastAsia="Times New Roman" w:hAnsi="Arial" w:cs="Arial"/>
      <w:iCs/>
      <w:color w:val="3FA6CC"/>
      <w:sz w:val="20"/>
      <w:szCs w:val="20"/>
    </w:rPr>
  </w:style>
  <w:style w:type="paragraph" w:customStyle="1" w:styleId="TenderTableHeader">
    <w:name w:val="Tender Table Header"/>
    <w:basedOn w:val="Normal"/>
    <w:uiPriority w:val="3"/>
    <w:rsid w:val="00373007"/>
    <w:pPr>
      <w:spacing w:before="20" w:after="0" w:line="280" w:lineRule="atLeast"/>
      <w:jc w:val="both"/>
      <w:textAlignment w:val="auto"/>
    </w:pPr>
    <w:rPr>
      <w:rFonts w:cs="Arial"/>
      <w:iCs/>
      <w:color w:val="FFFFFF"/>
      <w:sz w:val="20"/>
      <w:szCs w:val="20"/>
    </w:rPr>
  </w:style>
  <w:style w:type="paragraph" w:customStyle="1" w:styleId="TenderVerticalBigBlue">
    <w:name w:val="Tender Vertical Big Blue"/>
    <w:link w:val="TenderVerticalBigBlueChar"/>
    <w:rsid w:val="00373007"/>
    <w:pPr>
      <w:tabs>
        <w:tab w:val="right" w:pos="9180"/>
      </w:tabs>
      <w:spacing w:before="20" w:after="0" w:line="280" w:lineRule="atLeast"/>
    </w:pPr>
    <w:rPr>
      <w:rFonts w:ascii="Arial" w:eastAsia="Times New Roman" w:hAnsi="Arial" w:cs="Arial"/>
      <w:iCs/>
      <w:caps/>
      <w:color w:val="40A6CC"/>
      <w:sz w:val="112"/>
      <w:szCs w:val="112"/>
      <w:lang w:eastAsia="en-GB"/>
    </w:rPr>
  </w:style>
  <w:style w:type="paragraph" w:customStyle="1" w:styleId="TenderVerticalSmall">
    <w:name w:val="Tender Vertical Small"/>
    <w:basedOn w:val="Normal"/>
    <w:uiPriority w:val="3"/>
    <w:rsid w:val="00373007"/>
    <w:pPr>
      <w:tabs>
        <w:tab w:val="right" w:pos="9180"/>
      </w:tabs>
      <w:spacing w:before="20" w:after="0" w:line="280" w:lineRule="atLeast"/>
      <w:jc w:val="both"/>
      <w:textAlignment w:val="auto"/>
    </w:pPr>
    <w:rPr>
      <w:rFonts w:cs="Arial"/>
      <w:iCs/>
      <w:caps/>
      <w:color w:val="646464"/>
      <w:sz w:val="36"/>
      <w:szCs w:val="36"/>
    </w:rPr>
  </w:style>
  <w:style w:type="paragraph" w:customStyle="1" w:styleId="TitleLogo">
    <w:name w:val="Title Logo"/>
    <w:basedOn w:val="Normal"/>
    <w:uiPriority w:val="3"/>
    <w:rsid w:val="00373007"/>
    <w:pPr>
      <w:spacing w:before="1200" w:after="1560" w:line="280" w:lineRule="atLeast"/>
      <w:jc w:val="both"/>
      <w:textAlignment w:val="auto"/>
    </w:pPr>
    <w:rPr>
      <w:rFonts w:cs="Arial"/>
      <w:b/>
      <w:iCs/>
      <w:color w:val="000000" w:themeColor="text1"/>
      <w:sz w:val="56"/>
      <w:szCs w:val="20"/>
    </w:rPr>
  </w:style>
  <w:style w:type="paragraph" w:customStyle="1" w:styleId="Action">
    <w:name w:val="Action"/>
    <w:basedOn w:val="Normal"/>
    <w:link w:val="ActionChar"/>
    <w:uiPriority w:val="3"/>
    <w:rsid w:val="00373007"/>
    <w:pPr>
      <w:spacing w:before="20" w:after="200" w:line="280" w:lineRule="atLeast"/>
      <w:textAlignment w:val="auto"/>
    </w:pPr>
    <w:rPr>
      <w:rFonts w:cs="Arial"/>
      <w:iCs/>
      <w:color w:val="3FA6CC"/>
      <w:sz w:val="20"/>
      <w:szCs w:val="20"/>
    </w:rPr>
  </w:style>
  <w:style w:type="character" w:customStyle="1" w:styleId="ActionChar">
    <w:name w:val="Action Char"/>
    <w:basedOn w:val="DefaultParagraphFont"/>
    <w:link w:val="Action"/>
    <w:uiPriority w:val="3"/>
    <w:rsid w:val="00373007"/>
    <w:rPr>
      <w:rFonts w:ascii="Arial" w:eastAsia="Times New Roman" w:hAnsi="Arial" w:cs="Arial"/>
      <w:iCs/>
      <w:color w:val="3FA6CC"/>
      <w:sz w:val="20"/>
      <w:szCs w:val="20"/>
      <w:lang w:eastAsia="en-GB"/>
    </w:rPr>
  </w:style>
  <w:style w:type="table" w:customStyle="1" w:styleId="LightShading-Accent11">
    <w:name w:val="Light Shading - Accent 11"/>
    <w:aliases w:val="serena"/>
    <w:basedOn w:val="TableNormal"/>
    <w:uiPriority w:val="60"/>
    <w:rsid w:val="00373007"/>
    <w:pPr>
      <w:spacing w:before="20" w:after="0" w:line="240" w:lineRule="auto"/>
    </w:pPr>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color w:val="auto"/>
      </w:rPr>
      <w:tblPr/>
      <w:tcPr>
        <w:shd w:val="clear" w:color="auto" w:fill="222A35" w:themeFill="text2" w:themeFillShade="80"/>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5">
    <w:name w:val="Light Shading Accent 5"/>
    <w:basedOn w:val="TableNormal"/>
    <w:uiPriority w:val="60"/>
    <w:rsid w:val="00373007"/>
    <w:pPr>
      <w:spacing w:before="20" w:after="0" w:line="240" w:lineRule="auto"/>
    </w:pPr>
    <w:rPr>
      <w:rFonts w:ascii="Times New Roman" w:eastAsia="Times New Roman" w:hAnsi="Times New Roman" w:cs="Times New Roman"/>
      <w:color w:val="2E74B5" w:themeColor="accent5" w:themeShade="BF"/>
      <w:sz w:val="20"/>
      <w:szCs w:val="20"/>
      <w:lang w:eastAsia="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BodyTextNum">
    <w:name w:val="Body Text Num"/>
    <w:basedOn w:val="Normal"/>
    <w:uiPriority w:val="3"/>
    <w:rsid w:val="00373007"/>
    <w:pPr>
      <w:spacing w:before="20" w:after="200" w:line="280" w:lineRule="atLeast"/>
      <w:textAlignment w:val="auto"/>
    </w:pPr>
    <w:rPr>
      <w:rFonts w:cs="Arial"/>
      <w:iCs/>
      <w:sz w:val="20"/>
      <w:szCs w:val="20"/>
    </w:rPr>
  </w:style>
  <w:style w:type="paragraph" w:customStyle="1" w:styleId="ByLine">
    <w:name w:val="ByLine"/>
    <w:basedOn w:val="Normal"/>
    <w:uiPriority w:val="3"/>
    <w:rsid w:val="00373007"/>
    <w:pPr>
      <w:framePr w:w="7042" w:h="2448" w:hRule="exact" w:hSpace="187" w:wrap="around" w:hAnchor="page" w:x="3889" w:y="8641" w:anchorLock="1"/>
      <w:spacing w:before="240" w:after="0"/>
      <w:ind w:left="864"/>
      <w:textAlignment w:val="auto"/>
    </w:pPr>
    <w:rPr>
      <w:rFonts w:cs="Arial"/>
      <w:b/>
      <w:sz w:val="20"/>
      <w:szCs w:val="20"/>
    </w:rPr>
  </w:style>
  <w:style w:type="paragraph" w:styleId="Caption">
    <w:name w:val="caption"/>
    <w:basedOn w:val="Normal"/>
    <w:next w:val="Normal"/>
    <w:uiPriority w:val="4"/>
    <w:rsid w:val="00373007"/>
    <w:pPr>
      <w:spacing w:line="280" w:lineRule="atLeast"/>
      <w:jc w:val="both"/>
      <w:textAlignment w:val="auto"/>
    </w:pPr>
    <w:rPr>
      <w:rFonts w:cs="Arial"/>
      <w:bCs/>
      <w:iCs/>
      <w:color w:val="000000" w:themeColor="text1"/>
      <w:sz w:val="20"/>
      <w:szCs w:val="20"/>
    </w:rPr>
  </w:style>
  <w:style w:type="character" w:styleId="FootnoteReference">
    <w:name w:val="footnote reference"/>
    <w:basedOn w:val="DefaultParagraphFont"/>
    <w:semiHidden/>
    <w:rsid w:val="00373007"/>
    <w:rPr>
      <w:vertAlign w:val="superscript"/>
    </w:rPr>
  </w:style>
  <w:style w:type="paragraph" w:styleId="FootnoteText">
    <w:name w:val="footnote text"/>
    <w:basedOn w:val="Normal"/>
    <w:link w:val="FootnoteTextChar"/>
    <w:semiHidden/>
    <w:rsid w:val="00373007"/>
    <w:pPr>
      <w:spacing w:before="20" w:after="0"/>
      <w:textAlignment w:val="auto"/>
    </w:pPr>
    <w:rPr>
      <w:rFonts w:cs="Arial"/>
      <w:b/>
      <w:sz w:val="20"/>
      <w:szCs w:val="20"/>
    </w:rPr>
  </w:style>
  <w:style w:type="character" w:customStyle="1" w:styleId="FootnoteTextChar">
    <w:name w:val="Footnote Text Char"/>
    <w:basedOn w:val="DefaultParagraphFont"/>
    <w:link w:val="FootnoteText"/>
    <w:semiHidden/>
    <w:rsid w:val="00373007"/>
    <w:rPr>
      <w:rFonts w:ascii="Arial" w:eastAsia="Times New Roman" w:hAnsi="Arial" w:cs="Arial"/>
      <w:b/>
      <w:sz w:val="20"/>
      <w:szCs w:val="20"/>
      <w:lang w:eastAsia="en-GB"/>
    </w:rPr>
  </w:style>
  <w:style w:type="paragraph" w:customStyle="1" w:styleId="OrangeTitle">
    <w:name w:val="OrangeTitle"/>
    <w:basedOn w:val="Normal"/>
    <w:uiPriority w:val="3"/>
    <w:rsid w:val="00373007"/>
    <w:pPr>
      <w:spacing w:before="20" w:after="60" w:line="280" w:lineRule="atLeast"/>
      <w:textAlignment w:val="auto"/>
    </w:pPr>
    <w:rPr>
      <w:rFonts w:cs="Arial"/>
      <w:iCs/>
      <w:caps/>
      <w:color w:val="F06A00"/>
      <w:sz w:val="20"/>
      <w:szCs w:val="20"/>
    </w:rPr>
  </w:style>
  <w:style w:type="character" w:styleId="PageNumber">
    <w:name w:val="page number"/>
    <w:basedOn w:val="DefaultParagraphFont"/>
    <w:uiPriority w:val="3"/>
    <w:rsid w:val="00373007"/>
  </w:style>
  <w:style w:type="paragraph" w:customStyle="1" w:styleId="ReportDate">
    <w:name w:val="ReportDate"/>
    <w:basedOn w:val="Normal"/>
    <w:next w:val="Normal"/>
    <w:uiPriority w:val="3"/>
    <w:rsid w:val="00373007"/>
    <w:pPr>
      <w:framePr w:w="2030" w:hSpace="187" w:wrap="auto" w:vAnchor="page" w:hAnchor="page" w:x="8699" w:y="13249" w:anchorLock="1"/>
      <w:spacing w:before="20" w:after="0"/>
      <w:jc w:val="right"/>
      <w:textAlignment w:val="auto"/>
    </w:pPr>
    <w:rPr>
      <w:rFonts w:cs="Arial"/>
      <w:b/>
      <w:noProof/>
      <w:sz w:val="18"/>
      <w:szCs w:val="20"/>
    </w:rPr>
  </w:style>
  <w:style w:type="paragraph" w:styleId="TableofFigures">
    <w:name w:val="table of figures"/>
    <w:basedOn w:val="Normal"/>
    <w:next w:val="Normal"/>
    <w:semiHidden/>
    <w:rsid w:val="00373007"/>
    <w:pPr>
      <w:spacing w:before="20" w:after="0" w:line="280" w:lineRule="atLeast"/>
      <w:jc w:val="both"/>
      <w:textAlignment w:val="auto"/>
    </w:pPr>
    <w:rPr>
      <w:rFonts w:cs="Arial"/>
      <w:iCs/>
      <w:color w:val="000000" w:themeColor="text1"/>
      <w:sz w:val="20"/>
      <w:szCs w:val="20"/>
    </w:rPr>
  </w:style>
  <w:style w:type="paragraph" w:styleId="TOC1">
    <w:name w:val="toc 1"/>
    <w:next w:val="BodyTextGrey"/>
    <w:link w:val="TOC1Char"/>
    <w:uiPriority w:val="39"/>
    <w:rsid w:val="00373007"/>
    <w:pPr>
      <w:tabs>
        <w:tab w:val="left" w:pos="454"/>
        <w:tab w:val="left" w:pos="6124"/>
      </w:tabs>
      <w:spacing w:before="20" w:after="20" w:line="240" w:lineRule="auto"/>
    </w:pPr>
    <w:rPr>
      <w:rFonts w:ascii="Arial" w:eastAsia="Times New Roman" w:hAnsi="Arial" w:cs="Arial"/>
      <w:iCs/>
      <w:color w:val="4B4B4B"/>
      <w:sz w:val="20"/>
      <w:szCs w:val="20"/>
      <w:lang w:eastAsia="en-GB"/>
    </w:rPr>
  </w:style>
  <w:style w:type="paragraph" w:styleId="TOC2">
    <w:name w:val="toc 2"/>
    <w:basedOn w:val="Normal"/>
    <w:next w:val="Normal"/>
    <w:uiPriority w:val="39"/>
    <w:rsid w:val="00373007"/>
    <w:pPr>
      <w:tabs>
        <w:tab w:val="right" w:pos="8648"/>
      </w:tabs>
      <w:spacing w:before="240" w:after="0" w:line="280" w:lineRule="atLeast"/>
      <w:jc w:val="both"/>
      <w:textAlignment w:val="auto"/>
    </w:pPr>
    <w:rPr>
      <w:rFonts w:ascii="Times New Roman" w:hAnsi="Times New Roman" w:cs="Arial"/>
      <w:iCs/>
      <w:color w:val="000000" w:themeColor="text1"/>
      <w:sz w:val="20"/>
      <w:szCs w:val="20"/>
    </w:rPr>
  </w:style>
  <w:style w:type="paragraph" w:styleId="TOC3">
    <w:name w:val="toc 3"/>
    <w:basedOn w:val="Normal"/>
    <w:next w:val="Normal"/>
    <w:uiPriority w:val="39"/>
    <w:rsid w:val="00373007"/>
    <w:pPr>
      <w:tabs>
        <w:tab w:val="right" w:pos="8648"/>
      </w:tabs>
      <w:spacing w:before="20" w:after="0" w:line="280" w:lineRule="atLeast"/>
      <w:ind w:left="200"/>
      <w:jc w:val="both"/>
      <w:textAlignment w:val="auto"/>
    </w:pPr>
    <w:rPr>
      <w:rFonts w:ascii="Times New Roman" w:hAnsi="Times New Roman" w:cs="Arial"/>
      <w:b/>
      <w:iCs/>
      <w:color w:val="000000" w:themeColor="text1"/>
      <w:sz w:val="20"/>
      <w:szCs w:val="20"/>
    </w:rPr>
  </w:style>
  <w:style w:type="paragraph" w:styleId="TOC4">
    <w:name w:val="toc 4"/>
    <w:basedOn w:val="Normal"/>
    <w:next w:val="Normal"/>
    <w:uiPriority w:val="3"/>
    <w:rsid w:val="00373007"/>
    <w:pPr>
      <w:tabs>
        <w:tab w:val="right" w:pos="8648"/>
      </w:tabs>
      <w:spacing w:before="20" w:after="0" w:line="280" w:lineRule="atLeast"/>
      <w:ind w:left="400"/>
      <w:jc w:val="both"/>
      <w:textAlignment w:val="auto"/>
    </w:pPr>
    <w:rPr>
      <w:rFonts w:ascii="Times New Roman" w:hAnsi="Times New Roman" w:cs="Arial"/>
      <w:b/>
      <w:iCs/>
      <w:color w:val="000000" w:themeColor="text1"/>
      <w:sz w:val="20"/>
      <w:szCs w:val="20"/>
    </w:rPr>
  </w:style>
  <w:style w:type="paragraph" w:styleId="TOC5">
    <w:name w:val="toc 5"/>
    <w:basedOn w:val="Normal"/>
    <w:next w:val="Normal"/>
    <w:semiHidden/>
    <w:rsid w:val="00373007"/>
    <w:pPr>
      <w:tabs>
        <w:tab w:val="right" w:pos="8648"/>
      </w:tabs>
      <w:spacing w:before="20" w:after="0" w:line="280" w:lineRule="atLeast"/>
      <w:ind w:left="600"/>
      <w:jc w:val="both"/>
      <w:textAlignment w:val="auto"/>
    </w:pPr>
    <w:rPr>
      <w:rFonts w:ascii="Times New Roman" w:hAnsi="Times New Roman" w:cs="Arial"/>
      <w:b/>
      <w:iCs/>
      <w:color w:val="000000" w:themeColor="text1"/>
      <w:sz w:val="20"/>
      <w:szCs w:val="20"/>
    </w:rPr>
  </w:style>
  <w:style w:type="paragraph" w:styleId="TOC6">
    <w:name w:val="toc 6"/>
    <w:basedOn w:val="Normal"/>
    <w:next w:val="Normal"/>
    <w:semiHidden/>
    <w:rsid w:val="00373007"/>
    <w:pPr>
      <w:tabs>
        <w:tab w:val="right" w:pos="8648"/>
      </w:tabs>
      <w:spacing w:before="20" w:after="0" w:line="280" w:lineRule="atLeast"/>
      <w:ind w:left="800"/>
      <w:jc w:val="both"/>
      <w:textAlignment w:val="auto"/>
    </w:pPr>
    <w:rPr>
      <w:rFonts w:ascii="Times New Roman" w:hAnsi="Times New Roman" w:cs="Arial"/>
      <w:b/>
      <w:iCs/>
      <w:color w:val="000000" w:themeColor="text1"/>
      <w:sz w:val="20"/>
      <w:szCs w:val="20"/>
    </w:rPr>
  </w:style>
  <w:style w:type="paragraph" w:styleId="TOC7">
    <w:name w:val="toc 7"/>
    <w:basedOn w:val="Normal"/>
    <w:next w:val="Normal"/>
    <w:semiHidden/>
    <w:rsid w:val="00373007"/>
    <w:pPr>
      <w:tabs>
        <w:tab w:val="right" w:pos="8648"/>
      </w:tabs>
      <w:spacing w:before="20" w:after="0" w:line="280" w:lineRule="atLeast"/>
      <w:ind w:left="1000"/>
      <w:jc w:val="both"/>
      <w:textAlignment w:val="auto"/>
    </w:pPr>
    <w:rPr>
      <w:rFonts w:ascii="Times New Roman" w:hAnsi="Times New Roman" w:cs="Arial"/>
      <w:b/>
      <w:iCs/>
      <w:color w:val="000000" w:themeColor="text1"/>
      <w:sz w:val="20"/>
      <w:szCs w:val="20"/>
    </w:rPr>
  </w:style>
  <w:style w:type="paragraph" w:styleId="TOC8">
    <w:name w:val="toc 8"/>
    <w:basedOn w:val="Normal"/>
    <w:next w:val="Normal"/>
    <w:semiHidden/>
    <w:rsid w:val="00373007"/>
    <w:pPr>
      <w:tabs>
        <w:tab w:val="right" w:pos="8648"/>
      </w:tabs>
      <w:spacing w:before="20" w:after="0" w:line="280" w:lineRule="atLeast"/>
      <w:ind w:left="1200"/>
      <w:jc w:val="both"/>
      <w:textAlignment w:val="auto"/>
    </w:pPr>
    <w:rPr>
      <w:rFonts w:ascii="Times New Roman" w:hAnsi="Times New Roman" w:cs="Arial"/>
      <w:b/>
      <w:iCs/>
      <w:color w:val="000000" w:themeColor="text1"/>
      <w:sz w:val="20"/>
      <w:szCs w:val="20"/>
    </w:rPr>
  </w:style>
  <w:style w:type="paragraph" w:styleId="TOC9">
    <w:name w:val="toc 9"/>
    <w:basedOn w:val="Normal"/>
    <w:next w:val="Normal"/>
    <w:semiHidden/>
    <w:rsid w:val="00373007"/>
    <w:pPr>
      <w:tabs>
        <w:tab w:val="right" w:pos="8648"/>
      </w:tabs>
      <w:spacing w:before="20" w:after="0" w:line="280" w:lineRule="atLeast"/>
      <w:ind w:left="1400"/>
      <w:jc w:val="both"/>
      <w:textAlignment w:val="auto"/>
    </w:pPr>
    <w:rPr>
      <w:rFonts w:ascii="Times New Roman" w:hAnsi="Times New Roman" w:cs="Arial"/>
      <w:b/>
      <w:iCs/>
      <w:color w:val="000000" w:themeColor="text1"/>
      <w:sz w:val="20"/>
      <w:szCs w:val="20"/>
    </w:rPr>
  </w:style>
  <w:style w:type="paragraph" w:styleId="NoSpacing">
    <w:name w:val="No Spacing"/>
    <w:uiPriority w:val="3"/>
    <w:rsid w:val="00373007"/>
    <w:pPr>
      <w:spacing w:before="20" w:after="0" w:line="240" w:lineRule="auto"/>
      <w:jc w:val="both"/>
    </w:pPr>
    <w:rPr>
      <w:rFonts w:ascii="Arial" w:eastAsia="Times New Roman" w:hAnsi="Arial" w:cs="Arial"/>
      <w:iCs/>
      <w:color w:val="4B4B4B"/>
      <w:sz w:val="20"/>
      <w:szCs w:val="20"/>
      <w:lang w:eastAsia="en-GB"/>
    </w:rPr>
  </w:style>
  <w:style w:type="table" w:styleId="MediumGrid3-Accent2">
    <w:name w:val="Medium Grid 3 Accent 2"/>
    <w:basedOn w:val="TableNormal"/>
    <w:uiPriority w:val="69"/>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Shading1-Accent4">
    <w:name w:val="Medium Shading 1 Accent 4"/>
    <w:basedOn w:val="TableNormal"/>
    <w:uiPriority w:val="63"/>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373007"/>
    <w:pPr>
      <w:spacing w:before="20"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LightList-Accent11">
    <w:name w:val="Light List - Accent 11"/>
    <w:basedOn w:val="TableNormal"/>
    <w:uiPriority w:val="61"/>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1">
    <w:name w:val="Light List1"/>
    <w:basedOn w:val="TableNormal"/>
    <w:uiPriority w:val="61"/>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val="0"/>
        <w:bCs/>
        <w:color w:val="FFFFFF" w:themeColor="background1"/>
      </w:rPr>
      <w:tblPr/>
      <w:tcPr>
        <w:shd w:val="clear" w:color="auto" w:fill="D5DCE4" w:themeFill="text2" w:themeFillTint="33"/>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val="0"/>
        <w:bCs/>
        <w:i w:val="0"/>
      </w:rPr>
    </w:tblStylePr>
    <w:tblStylePr w:type="lastCol">
      <w:rPr>
        <w:b w:val="0"/>
        <w:bCs/>
        <w:i w:val="0"/>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000000" w:themeColor="text1"/>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color w:val="000000" w:themeColor="text1"/>
      </w:rPr>
    </w:tblStylePr>
  </w:style>
  <w:style w:type="table" w:customStyle="1" w:styleId="LightShading1">
    <w:name w:val="Light Shading1"/>
    <w:basedOn w:val="TableNormal"/>
    <w:uiPriority w:val="60"/>
    <w:rsid w:val="00373007"/>
    <w:pPr>
      <w:spacing w:before="20" w:after="0" w:line="240" w:lineRule="auto"/>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373007"/>
    <w:pPr>
      <w:spacing w:before="20" w:after="0" w:line="240" w:lineRule="auto"/>
    </w:pPr>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73007"/>
    <w:pPr>
      <w:spacing w:before="20" w:after="0" w:line="240" w:lineRule="auto"/>
    </w:pPr>
    <w:rPr>
      <w:rFonts w:ascii="Times New Roman" w:eastAsia="Times New Roman" w:hAnsi="Times New Roman" w:cs="Times New Roman"/>
      <w:color w:val="C45911" w:themeColor="accent2" w:themeShade="BF"/>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73007"/>
    <w:pPr>
      <w:spacing w:before="20" w:after="0" w:line="240" w:lineRule="auto"/>
    </w:pPr>
    <w:rPr>
      <w:rFonts w:ascii="Times New Roman" w:eastAsia="Times New Roman" w:hAnsi="Times New Roman" w:cs="Times New Roman"/>
      <w:color w:val="7B7B7B" w:themeColor="accent3" w:themeShade="BF"/>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2">
    <w:name w:val="Light List Accent 2"/>
    <w:basedOn w:val="TableNormal"/>
    <w:uiPriority w:val="61"/>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MediumShading1-Accent11">
    <w:name w:val="Medium Shading 1 - Accent 11"/>
    <w:basedOn w:val="TableNormal"/>
    <w:uiPriority w:val="63"/>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White">
    <w:name w:val="White"/>
    <w:basedOn w:val="BodyText"/>
    <w:next w:val="BodyTextGrey"/>
    <w:uiPriority w:val="2"/>
    <w:qFormat/>
    <w:rsid w:val="00373007"/>
    <w:pPr>
      <w:spacing w:before="20" w:after="200" w:line="280" w:lineRule="atLeast"/>
      <w:textAlignment w:val="auto"/>
    </w:pPr>
    <w:rPr>
      <w:rFonts w:cs="Arial"/>
      <w:iCs/>
      <w:color w:val="FFFFFF" w:themeColor="background1"/>
      <w:sz w:val="20"/>
      <w:szCs w:val="20"/>
      <w:lang w:eastAsia="en-US"/>
    </w:rPr>
  </w:style>
  <w:style w:type="paragraph" w:customStyle="1" w:styleId="Orange">
    <w:name w:val="Orange"/>
    <w:basedOn w:val="Normal"/>
    <w:next w:val="BodyTextGrey"/>
    <w:uiPriority w:val="2"/>
    <w:qFormat/>
    <w:rsid w:val="00373007"/>
    <w:pPr>
      <w:spacing w:before="20" w:after="200" w:line="280" w:lineRule="atLeast"/>
      <w:textAlignment w:val="auto"/>
    </w:pPr>
    <w:rPr>
      <w:rFonts w:cs="Arial"/>
      <w:iCs/>
      <w:color w:val="4472C4" w:themeColor="accent1"/>
      <w:sz w:val="20"/>
      <w:szCs w:val="20"/>
      <w:lang w:eastAsia="en-US"/>
    </w:rPr>
  </w:style>
  <w:style w:type="paragraph" w:customStyle="1" w:styleId="Blue">
    <w:name w:val="Blue"/>
    <w:basedOn w:val="BodyText"/>
    <w:next w:val="BodyTextGrey"/>
    <w:uiPriority w:val="2"/>
    <w:qFormat/>
    <w:rsid w:val="00373007"/>
    <w:pPr>
      <w:spacing w:before="20" w:after="200" w:line="280" w:lineRule="atLeast"/>
      <w:textAlignment w:val="auto"/>
    </w:pPr>
    <w:rPr>
      <w:rFonts w:cs="Arial"/>
      <w:iCs/>
      <w:color w:val="000000" w:themeColor="text1"/>
      <w:sz w:val="20"/>
      <w:szCs w:val="20"/>
      <w:lang w:eastAsia="en-US"/>
    </w:rPr>
  </w:style>
  <w:style w:type="paragraph" w:customStyle="1" w:styleId="HRTest18">
    <w:name w:val="HRTest18"/>
    <w:basedOn w:val="Normal"/>
    <w:uiPriority w:val="3"/>
    <w:rsid w:val="00373007"/>
    <w:pPr>
      <w:spacing w:before="20" w:after="20" w:line="280" w:lineRule="atLeast"/>
      <w:ind w:left="200"/>
      <w:jc w:val="both"/>
      <w:textAlignment w:val="auto"/>
    </w:pPr>
    <w:rPr>
      <w:rFonts w:cs="Arial"/>
      <w:iCs/>
      <w:caps/>
      <w:color w:val="FF9900"/>
      <w:sz w:val="20"/>
      <w:szCs w:val="20"/>
    </w:rPr>
  </w:style>
  <w:style w:type="table" w:styleId="LightList-Accent4">
    <w:name w:val="Light List Accent 4"/>
    <w:basedOn w:val="TableNormal"/>
    <w:uiPriority w:val="61"/>
    <w:rsid w:val="00373007"/>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MeetingHeader">
    <w:name w:val="MeetingHeader"/>
    <w:basedOn w:val="Normal"/>
    <w:uiPriority w:val="3"/>
    <w:rsid w:val="00373007"/>
    <w:pPr>
      <w:spacing w:before="20" w:after="20" w:line="280" w:lineRule="atLeast"/>
      <w:jc w:val="both"/>
      <w:textAlignment w:val="auto"/>
    </w:pPr>
    <w:rPr>
      <w:rFonts w:cs="Arial"/>
      <w:color w:val="4B4B4B"/>
      <w:sz w:val="20"/>
      <w:szCs w:val="20"/>
    </w:rPr>
  </w:style>
  <w:style w:type="paragraph" w:customStyle="1" w:styleId="MeetingHeaderCaps">
    <w:name w:val="MeetingHeaderCaps"/>
    <w:basedOn w:val="Normal"/>
    <w:uiPriority w:val="3"/>
    <w:rsid w:val="00373007"/>
    <w:pPr>
      <w:spacing w:before="20" w:after="20" w:line="280" w:lineRule="atLeast"/>
      <w:jc w:val="both"/>
      <w:textAlignment w:val="auto"/>
    </w:pPr>
    <w:rPr>
      <w:rFonts w:cs="Arial"/>
      <w:caps/>
      <w:color w:val="4B4B4B"/>
      <w:sz w:val="20"/>
      <w:szCs w:val="20"/>
    </w:rPr>
  </w:style>
  <w:style w:type="paragraph" w:customStyle="1" w:styleId="MeetingTitle">
    <w:name w:val="MeetingTitle"/>
    <w:basedOn w:val="MeetingHeaderCaps"/>
    <w:next w:val="MeetingHeaderCaps"/>
    <w:uiPriority w:val="3"/>
    <w:rsid w:val="00373007"/>
  </w:style>
  <w:style w:type="character" w:customStyle="1" w:styleId="Style1">
    <w:name w:val="Style1"/>
    <w:uiPriority w:val="1"/>
    <w:rsid w:val="00373007"/>
  </w:style>
  <w:style w:type="character" w:styleId="SubtleEmphasis">
    <w:name w:val="Subtle Emphasis"/>
    <w:basedOn w:val="DefaultParagraphFont"/>
    <w:uiPriority w:val="19"/>
    <w:rsid w:val="00373007"/>
    <w:rPr>
      <w:i/>
      <w:iCs/>
      <w:color w:val="808080" w:themeColor="text1" w:themeTint="7F"/>
    </w:rPr>
  </w:style>
  <w:style w:type="paragraph" w:customStyle="1" w:styleId="StyleTenderVerticalBigBlue48ptLeft02cmRight02">
    <w:name w:val="Style Tender Vertical Big Blue + 48 pt Left:  0.2 cm Right:  0.2 ..."/>
    <w:basedOn w:val="TenderVerticalBigBlue"/>
    <w:rsid w:val="00373007"/>
    <w:pPr>
      <w:spacing w:after="20"/>
      <w:ind w:left="113" w:right="113"/>
    </w:pPr>
    <w:rPr>
      <w:rFonts w:cs="Times New Roman"/>
      <w:iCs w:val="0"/>
      <w:caps w:val="0"/>
    </w:rPr>
  </w:style>
  <w:style w:type="paragraph" w:customStyle="1" w:styleId="StyleTenderBluetextBefore1pt">
    <w:name w:val="Style Tender Blue text + Before:  1 pt"/>
    <w:basedOn w:val="TenderBluetext"/>
    <w:rsid w:val="00373007"/>
    <w:pPr>
      <w:spacing w:before="20"/>
    </w:pPr>
    <w:rPr>
      <w:caps/>
    </w:rPr>
  </w:style>
  <w:style w:type="paragraph" w:customStyle="1" w:styleId="Filepath">
    <w:name w:val="Filepath"/>
    <w:uiPriority w:val="3"/>
    <w:rsid w:val="00373007"/>
    <w:pPr>
      <w:spacing w:before="20" w:after="20" w:line="280" w:lineRule="atLeast"/>
      <w:ind w:left="-425"/>
    </w:pPr>
    <w:rPr>
      <w:rFonts w:ascii="Arial" w:eastAsia="Times New Roman" w:hAnsi="Arial" w:cs="Arial"/>
      <w:color w:val="4B4B4B"/>
      <w:sz w:val="14"/>
      <w:szCs w:val="20"/>
      <w:lang w:eastAsia="en-GB"/>
    </w:rPr>
  </w:style>
  <w:style w:type="paragraph" w:styleId="BalloonText">
    <w:name w:val="Balloon Text"/>
    <w:basedOn w:val="Normal"/>
    <w:link w:val="BalloonTextChar"/>
    <w:uiPriority w:val="99"/>
    <w:semiHidden/>
    <w:unhideWhenUsed/>
    <w:rsid w:val="00373007"/>
    <w:pPr>
      <w:spacing w:before="0" w:after="0"/>
      <w:jc w:val="both"/>
      <w:textAlignment w:val="auto"/>
    </w:pPr>
    <w:rPr>
      <w:rFonts w:ascii="Tahoma" w:hAnsi="Tahoma" w:cs="Tahoma"/>
      <w:iCs/>
      <w:color w:val="000000" w:themeColor="text1"/>
      <w:sz w:val="16"/>
      <w:szCs w:val="16"/>
    </w:rPr>
  </w:style>
  <w:style w:type="character" w:customStyle="1" w:styleId="BalloonTextChar">
    <w:name w:val="Balloon Text Char"/>
    <w:basedOn w:val="DefaultParagraphFont"/>
    <w:link w:val="BalloonText"/>
    <w:uiPriority w:val="99"/>
    <w:semiHidden/>
    <w:rsid w:val="00373007"/>
    <w:rPr>
      <w:rFonts w:ascii="Tahoma" w:eastAsia="Times New Roman" w:hAnsi="Tahoma" w:cs="Tahoma"/>
      <w:iCs/>
      <w:color w:val="000000" w:themeColor="text1"/>
      <w:sz w:val="16"/>
      <w:szCs w:val="16"/>
      <w:lang w:eastAsia="en-GB"/>
    </w:rPr>
  </w:style>
  <w:style w:type="character" w:styleId="CommentReference">
    <w:name w:val="annotation reference"/>
    <w:basedOn w:val="DefaultParagraphFont"/>
    <w:uiPriority w:val="99"/>
    <w:semiHidden/>
    <w:unhideWhenUsed/>
    <w:rsid w:val="00373007"/>
    <w:rPr>
      <w:sz w:val="16"/>
      <w:szCs w:val="16"/>
    </w:rPr>
  </w:style>
  <w:style w:type="paragraph" w:styleId="CommentText">
    <w:name w:val="annotation text"/>
    <w:basedOn w:val="Normal"/>
    <w:link w:val="CommentTextChar"/>
    <w:uiPriority w:val="99"/>
    <w:unhideWhenUsed/>
    <w:rsid w:val="00373007"/>
    <w:pPr>
      <w:spacing w:before="20" w:after="0"/>
      <w:jc w:val="both"/>
      <w:textAlignment w:val="auto"/>
    </w:pPr>
    <w:rPr>
      <w:rFonts w:cs="Arial"/>
      <w:iCs/>
      <w:color w:val="000000" w:themeColor="text1"/>
      <w:sz w:val="20"/>
      <w:szCs w:val="20"/>
    </w:rPr>
  </w:style>
  <w:style w:type="character" w:customStyle="1" w:styleId="CommentTextChar">
    <w:name w:val="Comment Text Char"/>
    <w:basedOn w:val="DefaultParagraphFont"/>
    <w:link w:val="CommentText"/>
    <w:uiPriority w:val="99"/>
    <w:rsid w:val="00373007"/>
    <w:rPr>
      <w:rFonts w:ascii="Arial" w:eastAsia="Times New Roman" w:hAnsi="Arial" w:cs="Arial"/>
      <w:iCs/>
      <w:color w:val="000000" w:themeColor="text1"/>
      <w:sz w:val="20"/>
      <w:szCs w:val="20"/>
      <w:lang w:eastAsia="en-GB"/>
    </w:rPr>
  </w:style>
  <w:style w:type="paragraph" w:styleId="CommentSubject">
    <w:name w:val="annotation subject"/>
    <w:basedOn w:val="CommentText"/>
    <w:next w:val="CommentText"/>
    <w:link w:val="CommentSubjectChar"/>
    <w:uiPriority w:val="99"/>
    <w:semiHidden/>
    <w:unhideWhenUsed/>
    <w:rsid w:val="00373007"/>
    <w:rPr>
      <w:b/>
      <w:bCs/>
    </w:rPr>
  </w:style>
  <w:style w:type="character" w:customStyle="1" w:styleId="CommentSubjectChar">
    <w:name w:val="Comment Subject Char"/>
    <w:basedOn w:val="CommentTextChar"/>
    <w:link w:val="CommentSubject"/>
    <w:uiPriority w:val="99"/>
    <w:semiHidden/>
    <w:rsid w:val="00373007"/>
    <w:rPr>
      <w:rFonts w:ascii="Arial" w:eastAsia="Times New Roman" w:hAnsi="Arial" w:cs="Arial"/>
      <w:b/>
      <w:bCs/>
      <w:iCs/>
      <w:color w:val="000000" w:themeColor="text1"/>
      <w:sz w:val="20"/>
      <w:szCs w:val="20"/>
      <w:lang w:eastAsia="en-GB"/>
    </w:rPr>
  </w:style>
  <w:style w:type="character" w:customStyle="1" w:styleId="HeaderTextGrey">
    <w:name w:val="Header Text Grey"/>
    <w:uiPriority w:val="1"/>
    <w:qFormat/>
    <w:rsid w:val="00373007"/>
    <w:rPr>
      <w:rFonts w:ascii="Arial" w:hAnsi="Arial"/>
      <w:caps/>
      <w:color w:val="455560"/>
      <w:sz w:val="20"/>
    </w:rPr>
  </w:style>
  <w:style w:type="paragraph" w:styleId="Revision">
    <w:name w:val="Revision"/>
    <w:hidden/>
    <w:uiPriority w:val="99"/>
    <w:semiHidden/>
    <w:rsid w:val="00373007"/>
    <w:pPr>
      <w:spacing w:after="0" w:line="240" w:lineRule="auto"/>
    </w:pPr>
    <w:rPr>
      <w:rFonts w:ascii="Arial" w:eastAsia="Times New Roman" w:hAnsi="Arial" w:cs="Arial"/>
      <w:iCs/>
      <w:color w:val="000000" w:themeColor="text1"/>
      <w:sz w:val="20"/>
      <w:szCs w:val="20"/>
      <w:lang w:eastAsia="en-GB"/>
    </w:rPr>
  </w:style>
  <w:style w:type="paragraph" w:customStyle="1" w:styleId="contents">
    <w:name w:val="contents"/>
    <w:basedOn w:val="Normal"/>
    <w:qFormat/>
    <w:rsid w:val="00E06E99"/>
    <w:pPr>
      <w:tabs>
        <w:tab w:val="left" w:pos="426"/>
        <w:tab w:val="right" w:leader="dot" w:pos="9356"/>
      </w:tabs>
      <w:spacing w:before="240" w:after="240"/>
    </w:pPr>
    <w:rPr>
      <w:rFonts w:eastAsiaTheme="majorEastAsia"/>
    </w:rPr>
  </w:style>
  <w:style w:type="paragraph" w:customStyle="1" w:styleId="Heading1Num">
    <w:name w:val="Heading 1 Num"/>
    <w:basedOn w:val="Heading1"/>
    <w:next w:val="BodyTextGrey"/>
    <w:uiPriority w:val="1"/>
    <w:qFormat/>
    <w:rsid w:val="002A6F12"/>
    <w:pPr>
      <w:pageBreakBefore/>
      <w:numPr>
        <w:numId w:val="4"/>
      </w:numPr>
      <w:pBdr>
        <w:bottom w:val="single" w:sz="4" w:space="4" w:color="auto"/>
      </w:pBdr>
      <w:spacing w:before="140" w:after="140" w:line="360" w:lineRule="atLeast"/>
      <w:ind w:left="0"/>
      <w:textAlignment w:val="auto"/>
    </w:pPr>
    <w:rPr>
      <w:rFonts w:eastAsia="Times New Roman" w:cs="Times New Roman"/>
      <w:b w:val="0"/>
      <w:bCs w:val="0"/>
      <w:kern w:val="28"/>
      <w:sz w:val="40"/>
      <w:szCs w:val="40"/>
      <w:lang w:eastAsia="en-US"/>
    </w:rPr>
  </w:style>
  <w:style w:type="paragraph" w:customStyle="1" w:styleId="TitleHeading">
    <w:name w:val="Title Heading"/>
    <w:basedOn w:val="TenderVerticalBigBlue"/>
    <w:link w:val="TitleHeadingChar"/>
    <w:uiPriority w:val="3"/>
    <w:rsid w:val="00F93097"/>
    <w:pPr>
      <w:spacing w:after="20" w:line="360" w:lineRule="auto"/>
      <w:ind w:left="350"/>
    </w:pPr>
    <w:rPr>
      <w:rFonts w:ascii="Times LT" w:hAnsi="Times LT"/>
      <w:caps w:val="0"/>
      <w:snapToGrid w:val="0"/>
      <w:color w:val="35434D"/>
      <w:sz w:val="96"/>
      <w:szCs w:val="96"/>
    </w:rPr>
  </w:style>
  <w:style w:type="paragraph" w:customStyle="1" w:styleId="TitleHeadingGrey43pt">
    <w:name w:val="Title Heading_Grey_43pt"/>
    <w:basedOn w:val="TitleHeading"/>
    <w:link w:val="TitleHeadingGrey43ptChar"/>
    <w:uiPriority w:val="3"/>
    <w:rsid w:val="00F93097"/>
    <w:rPr>
      <w:rFonts w:ascii="Times New Roman" w:hAnsi="Times New Roman" w:cs="Times New Roman"/>
      <w:sz w:val="86"/>
      <w:szCs w:val="86"/>
    </w:rPr>
  </w:style>
  <w:style w:type="character" w:customStyle="1" w:styleId="TenderVerticalBigBlueChar">
    <w:name w:val="Tender Vertical Big Blue Char"/>
    <w:basedOn w:val="DefaultParagraphFont"/>
    <w:link w:val="TenderVerticalBigBlue"/>
    <w:rsid w:val="00F93097"/>
    <w:rPr>
      <w:rFonts w:ascii="Arial" w:eastAsia="Times New Roman" w:hAnsi="Arial" w:cs="Arial"/>
      <w:iCs/>
      <w:caps/>
      <w:color w:val="40A6CC"/>
      <w:sz w:val="112"/>
      <w:szCs w:val="112"/>
      <w:lang w:eastAsia="en-GB"/>
    </w:rPr>
  </w:style>
  <w:style w:type="character" w:customStyle="1" w:styleId="TitleHeadingChar">
    <w:name w:val="Title Heading Char"/>
    <w:basedOn w:val="TenderVerticalBigBlueChar"/>
    <w:link w:val="TitleHeading"/>
    <w:uiPriority w:val="3"/>
    <w:rsid w:val="00F93097"/>
    <w:rPr>
      <w:rFonts w:ascii="Times LT" w:eastAsia="Times New Roman" w:hAnsi="Times LT" w:cs="Arial"/>
      <w:iCs/>
      <w:caps w:val="0"/>
      <w:snapToGrid w:val="0"/>
      <w:color w:val="35434D"/>
      <w:sz w:val="96"/>
      <w:szCs w:val="96"/>
      <w:lang w:eastAsia="en-GB"/>
    </w:rPr>
  </w:style>
  <w:style w:type="paragraph" w:customStyle="1" w:styleId="HeadingGrey43pt">
    <w:name w:val="Heading_Grey_43pt"/>
    <w:basedOn w:val="TitleHeadingGrey43pt"/>
    <w:link w:val="HeadingGrey43ptChar"/>
    <w:uiPriority w:val="3"/>
    <w:rsid w:val="00F93097"/>
    <w:pPr>
      <w:spacing w:line="240" w:lineRule="auto"/>
      <w:ind w:left="-125"/>
    </w:pPr>
    <w:rPr>
      <w:color w:val="455560"/>
    </w:rPr>
  </w:style>
  <w:style w:type="character" w:customStyle="1" w:styleId="TitleHeadingGrey43ptChar">
    <w:name w:val="Title Heading_Grey_43pt Char"/>
    <w:basedOn w:val="TitleHeadingChar"/>
    <w:link w:val="TitleHeadingGrey43pt"/>
    <w:uiPriority w:val="3"/>
    <w:rsid w:val="00F93097"/>
    <w:rPr>
      <w:rFonts w:ascii="Times New Roman" w:eastAsia="Times New Roman" w:hAnsi="Times New Roman" w:cs="Times New Roman"/>
      <w:iCs/>
      <w:caps w:val="0"/>
      <w:snapToGrid w:val="0"/>
      <w:color w:val="35434D"/>
      <w:sz w:val="86"/>
      <w:szCs w:val="86"/>
      <w:lang w:eastAsia="en-GB"/>
    </w:rPr>
  </w:style>
  <w:style w:type="paragraph" w:customStyle="1" w:styleId="Subheading">
    <w:name w:val="Subheading"/>
    <w:basedOn w:val="Heading3"/>
    <w:link w:val="SubheadingChar"/>
    <w:uiPriority w:val="3"/>
    <w:qFormat/>
    <w:rsid w:val="00F93097"/>
    <w:pPr>
      <w:spacing w:before="20" w:after="200" w:line="280" w:lineRule="atLeast"/>
      <w:textAlignment w:val="auto"/>
      <w:outlineLvl w:val="9"/>
    </w:pPr>
    <w:rPr>
      <w:rFonts w:ascii="Arial" w:eastAsia="Times New Roman" w:hAnsi="Arial" w:cs="Arial"/>
      <w:b w:val="0"/>
      <w:bCs w:val="0"/>
      <w:iCs/>
      <w:color w:val="70AD47" w:themeColor="accent6"/>
      <w:szCs w:val="36"/>
    </w:rPr>
  </w:style>
  <w:style w:type="character" w:customStyle="1" w:styleId="HeadingGrey43ptChar">
    <w:name w:val="Heading_Grey_43pt Char"/>
    <w:basedOn w:val="TitleHeadingGrey43ptChar"/>
    <w:link w:val="HeadingGrey43pt"/>
    <w:uiPriority w:val="3"/>
    <w:rsid w:val="00F93097"/>
    <w:rPr>
      <w:rFonts w:ascii="Times New Roman" w:eastAsia="Times New Roman" w:hAnsi="Times New Roman" w:cs="Times New Roman"/>
      <w:iCs/>
      <w:caps w:val="0"/>
      <w:snapToGrid w:val="0"/>
      <w:color w:val="455560"/>
      <w:sz w:val="86"/>
      <w:szCs w:val="86"/>
      <w:lang w:eastAsia="en-GB"/>
    </w:rPr>
  </w:style>
  <w:style w:type="paragraph" w:customStyle="1" w:styleId="Subheading1">
    <w:name w:val="Subheading 1"/>
    <w:basedOn w:val="Heading3"/>
    <w:link w:val="Subheading1Char"/>
    <w:uiPriority w:val="3"/>
    <w:qFormat/>
    <w:rsid w:val="00F93097"/>
    <w:pPr>
      <w:spacing w:before="20" w:after="200" w:line="280" w:lineRule="atLeast"/>
      <w:ind w:left="-122"/>
      <w:textAlignment w:val="auto"/>
    </w:pPr>
    <w:rPr>
      <w:rFonts w:ascii="Arial" w:eastAsia="Times New Roman" w:hAnsi="Arial" w:cs="Arial"/>
      <w:b w:val="0"/>
      <w:bCs w:val="0"/>
      <w:iCs/>
      <w:color w:val="455560"/>
      <w:sz w:val="20"/>
      <w:szCs w:val="20"/>
    </w:rPr>
  </w:style>
  <w:style w:type="character" w:customStyle="1" w:styleId="SubheadingChar">
    <w:name w:val="Subheading Char"/>
    <w:basedOn w:val="Heading3Char"/>
    <w:link w:val="Subheading"/>
    <w:uiPriority w:val="3"/>
    <w:rsid w:val="00F93097"/>
    <w:rPr>
      <w:rFonts w:ascii="Arial" w:eastAsia="Times New Roman" w:hAnsi="Arial" w:cs="Arial"/>
      <w:b w:val="0"/>
      <w:bCs w:val="0"/>
      <w:iCs/>
      <w:color w:val="70AD47" w:themeColor="accent6"/>
      <w:sz w:val="36"/>
      <w:szCs w:val="36"/>
      <w:lang w:eastAsia="en-GB"/>
    </w:rPr>
  </w:style>
  <w:style w:type="character" w:customStyle="1" w:styleId="Subheading1Char">
    <w:name w:val="Subheading 1 Char"/>
    <w:basedOn w:val="Heading3Char"/>
    <w:link w:val="Subheading1"/>
    <w:uiPriority w:val="3"/>
    <w:rsid w:val="00F93097"/>
    <w:rPr>
      <w:rFonts w:ascii="Arial" w:eastAsia="Times New Roman" w:hAnsi="Arial" w:cs="Arial"/>
      <w:b w:val="0"/>
      <w:bCs w:val="0"/>
      <w:iCs/>
      <w:color w:val="455560"/>
      <w:sz w:val="20"/>
      <w:szCs w:val="20"/>
      <w:lang w:eastAsia="en-GB"/>
    </w:rPr>
  </w:style>
  <w:style w:type="paragraph" w:customStyle="1" w:styleId="BasicParagraph">
    <w:name w:val="[Basic Paragraph]"/>
    <w:basedOn w:val="Normal"/>
    <w:uiPriority w:val="99"/>
    <w:rsid w:val="00F93097"/>
    <w:pPr>
      <w:autoSpaceDE w:val="0"/>
      <w:autoSpaceDN w:val="0"/>
      <w:adjustRightInd w:val="0"/>
      <w:spacing w:before="0" w:after="0" w:line="288" w:lineRule="auto"/>
      <w:textAlignment w:val="center"/>
    </w:pPr>
    <w:rPr>
      <w:rFonts w:ascii="Minion Pro" w:hAnsi="Minion Pro" w:cs="Minion Pro"/>
      <w:color w:val="000000"/>
    </w:rPr>
  </w:style>
  <w:style w:type="paragraph" w:customStyle="1" w:styleId="Bodynew">
    <w:name w:val="Body new"/>
    <w:basedOn w:val="BodyTextGrey"/>
    <w:link w:val="BodynewChar"/>
    <w:uiPriority w:val="3"/>
    <w:rsid w:val="00F93097"/>
    <w:rPr>
      <w:color w:val="5B9BD5" w:themeColor="accent5"/>
    </w:rPr>
  </w:style>
  <w:style w:type="paragraph" w:customStyle="1" w:styleId="Subnew">
    <w:name w:val="Sub new"/>
    <w:basedOn w:val="Heading2"/>
    <w:link w:val="SubnewChar"/>
    <w:uiPriority w:val="3"/>
    <w:qFormat/>
    <w:rsid w:val="00F93097"/>
    <w:pPr>
      <w:pBdr>
        <w:bottom w:val="none" w:sz="0" w:space="0" w:color="auto"/>
      </w:pBdr>
      <w:spacing w:before="0" w:after="0" w:line="280" w:lineRule="atLeast"/>
      <w:textAlignment w:val="auto"/>
    </w:pPr>
    <w:rPr>
      <w:rFonts w:eastAsia="Times New Roman"/>
      <w:b/>
      <w:bCs w:val="0"/>
      <w:iCs/>
      <w:color w:val="5B9BD5" w:themeColor="accent5"/>
      <w:sz w:val="20"/>
      <w:szCs w:val="20"/>
    </w:rPr>
  </w:style>
  <w:style w:type="character" w:customStyle="1" w:styleId="BodynewChar">
    <w:name w:val="Body new Char"/>
    <w:basedOn w:val="BodyTextGreyChar"/>
    <w:link w:val="Bodynew"/>
    <w:uiPriority w:val="3"/>
    <w:rsid w:val="00F93097"/>
    <w:rPr>
      <w:rFonts w:ascii="Arial" w:eastAsia="Times New Roman" w:hAnsi="Arial" w:cs="Arial"/>
      <w:iCs/>
      <w:color w:val="5B9BD5" w:themeColor="accent5"/>
      <w:sz w:val="20"/>
      <w:szCs w:val="20"/>
    </w:rPr>
  </w:style>
  <w:style w:type="character" w:customStyle="1" w:styleId="SubnewChar">
    <w:name w:val="Sub new Char"/>
    <w:basedOn w:val="Heading2Char"/>
    <w:link w:val="Subnew"/>
    <w:uiPriority w:val="3"/>
    <w:rsid w:val="00F93097"/>
    <w:rPr>
      <w:rFonts w:ascii="Arial" w:eastAsia="Times New Roman" w:hAnsi="Arial" w:cs="Arial"/>
      <w:b/>
      <w:bCs w:val="0"/>
      <w:iCs/>
      <w:color w:val="5B9BD5" w:themeColor="accent5"/>
      <w:sz w:val="20"/>
      <w:szCs w:val="20"/>
      <w:lang w:eastAsia="en-GB"/>
    </w:rPr>
  </w:style>
  <w:style w:type="paragraph" w:customStyle="1" w:styleId="TitleNewGrey">
    <w:name w:val="Title New_Grey"/>
    <w:basedOn w:val="Subheading"/>
    <w:link w:val="TitleNewGreyChar"/>
    <w:uiPriority w:val="3"/>
    <w:qFormat/>
    <w:rsid w:val="00F93097"/>
    <w:rPr>
      <w:rFonts w:ascii="Times New Roman" w:hAnsi="Times New Roman" w:cs="Times New Roman"/>
      <w:color w:val="455560"/>
      <w:sz w:val="80"/>
      <w:szCs w:val="80"/>
    </w:rPr>
  </w:style>
  <w:style w:type="paragraph" w:customStyle="1" w:styleId="Heading2NewGreen">
    <w:name w:val="Heading 2 New Green"/>
    <w:basedOn w:val="Subnew"/>
    <w:link w:val="Heading2NewGreenChar"/>
    <w:uiPriority w:val="3"/>
    <w:rsid w:val="00F93097"/>
  </w:style>
  <w:style w:type="character" w:customStyle="1" w:styleId="TitleNewGreyChar">
    <w:name w:val="Title New_Grey Char"/>
    <w:basedOn w:val="HeadingGrey43ptChar"/>
    <w:link w:val="TitleNewGrey"/>
    <w:uiPriority w:val="3"/>
    <w:rsid w:val="00F93097"/>
    <w:rPr>
      <w:rFonts w:ascii="Times New Roman" w:eastAsia="Times New Roman" w:hAnsi="Times New Roman" w:cs="Times New Roman"/>
      <w:iCs/>
      <w:caps w:val="0"/>
      <w:snapToGrid/>
      <w:color w:val="455560"/>
      <w:sz w:val="80"/>
      <w:szCs w:val="80"/>
      <w:lang w:eastAsia="en-GB"/>
    </w:rPr>
  </w:style>
  <w:style w:type="paragraph" w:customStyle="1" w:styleId="Heading2NumbersNew">
    <w:name w:val="Heading 2 Numbers New"/>
    <w:basedOn w:val="Heading2Num"/>
    <w:link w:val="Heading2NumbersNewChar"/>
    <w:uiPriority w:val="3"/>
    <w:rsid w:val="00F93097"/>
    <w:pPr>
      <w:keepNext/>
      <w:keepLines/>
      <w:widowControl/>
      <w:pBdr>
        <w:bottom w:val="none" w:sz="0" w:space="0" w:color="auto"/>
      </w:pBdr>
      <w:spacing w:before="0" w:after="0" w:line="280" w:lineRule="atLeast"/>
    </w:pPr>
    <w:rPr>
      <w:sz w:val="20"/>
      <w:szCs w:val="20"/>
      <w:lang w:eastAsia="en-GB"/>
    </w:rPr>
  </w:style>
  <w:style w:type="character" w:customStyle="1" w:styleId="Heading2NewGreenChar">
    <w:name w:val="Heading 2 New Green Char"/>
    <w:basedOn w:val="SubnewChar"/>
    <w:link w:val="Heading2NewGreen"/>
    <w:uiPriority w:val="3"/>
    <w:rsid w:val="00F93097"/>
    <w:rPr>
      <w:rFonts w:ascii="Arial" w:eastAsia="Times New Roman" w:hAnsi="Arial" w:cs="Arial"/>
      <w:b/>
      <w:bCs w:val="0"/>
      <w:iCs/>
      <w:color w:val="5B9BD5" w:themeColor="accent5"/>
      <w:sz w:val="20"/>
      <w:szCs w:val="20"/>
      <w:lang w:eastAsia="en-GB"/>
    </w:rPr>
  </w:style>
  <w:style w:type="paragraph" w:customStyle="1" w:styleId="Heading4New">
    <w:name w:val="Heading 4 New"/>
    <w:basedOn w:val="Heading4"/>
    <w:link w:val="Heading4NewChar"/>
    <w:uiPriority w:val="3"/>
    <w:rsid w:val="00F93097"/>
    <w:pPr>
      <w:keepNext w:val="0"/>
      <w:keepLines w:val="0"/>
      <w:tabs>
        <w:tab w:val="num" w:pos="0"/>
      </w:tabs>
      <w:spacing w:before="20" w:after="20" w:line="280" w:lineRule="atLeast"/>
      <w:textAlignment w:val="auto"/>
    </w:pPr>
    <w:rPr>
      <w:rFonts w:ascii="Arial" w:eastAsia="Times New Roman" w:hAnsi="Arial" w:cs="Arial"/>
      <w:color w:val="455560"/>
      <w:sz w:val="20"/>
      <w:szCs w:val="20"/>
    </w:rPr>
  </w:style>
  <w:style w:type="character" w:customStyle="1" w:styleId="Heading2NumChar">
    <w:name w:val="Heading 2 Num Char"/>
    <w:basedOn w:val="Heading2Char"/>
    <w:link w:val="Heading2Num"/>
    <w:uiPriority w:val="1"/>
    <w:rsid w:val="00F93097"/>
    <w:rPr>
      <w:rFonts w:ascii="Arial" w:eastAsia="Times New Roman" w:hAnsi="Arial" w:cs="Times New Roman"/>
      <w:bCs w:val="0"/>
      <w:kern w:val="28"/>
      <w:sz w:val="40"/>
      <w:szCs w:val="48"/>
      <w:lang w:eastAsia="en-GB"/>
    </w:rPr>
  </w:style>
  <w:style w:type="character" w:customStyle="1" w:styleId="Heading2NumbersNewChar">
    <w:name w:val="Heading 2 Numbers New Char"/>
    <w:basedOn w:val="Heading2NumChar"/>
    <w:link w:val="Heading2NumbersNew"/>
    <w:uiPriority w:val="3"/>
    <w:rsid w:val="00F93097"/>
    <w:rPr>
      <w:rFonts w:ascii="Arial" w:eastAsia="Times New Roman" w:hAnsi="Arial" w:cs="Times New Roman"/>
      <w:bCs w:val="0"/>
      <w:kern w:val="28"/>
      <w:sz w:val="20"/>
      <w:szCs w:val="20"/>
      <w:lang w:eastAsia="en-GB"/>
    </w:rPr>
  </w:style>
  <w:style w:type="paragraph" w:customStyle="1" w:styleId="Heading4Numbers">
    <w:name w:val="Heading 4 Numbers"/>
    <w:basedOn w:val="Heading3Num"/>
    <w:next w:val="BodyText"/>
    <w:link w:val="Heading4NumbersChar"/>
    <w:uiPriority w:val="3"/>
    <w:qFormat/>
    <w:rsid w:val="00F93097"/>
    <w:pPr>
      <w:numPr>
        <w:ilvl w:val="0"/>
        <w:numId w:val="0"/>
      </w:numPr>
      <w:tabs>
        <w:tab w:val="num" w:pos="567"/>
      </w:tabs>
      <w:spacing w:before="20" w:after="200"/>
      <w:ind w:left="567" w:hanging="567"/>
      <w:outlineLvl w:val="2"/>
    </w:pPr>
    <w:rPr>
      <w:color w:val="455560"/>
    </w:rPr>
  </w:style>
  <w:style w:type="character" w:customStyle="1" w:styleId="Heading4NewChar">
    <w:name w:val="Heading 4 New Char"/>
    <w:basedOn w:val="Heading4Char"/>
    <w:link w:val="Heading4New"/>
    <w:uiPriority w:val="3"/>
    <w:rsid w:val="00F93097"/>
    <w:rPr>
      <w:rFonts w:ascii="Arial" w:eastAsia="Times New Roman" w:hAnsi="Arial" w:cs="Arial"/>
      <w:b/>
      <w:iCs/>
      <w:color w:val="455560"/>
      <w:sz w:val="20"/>
      <w:szCs w:val="20"/>
      <w:lang w:eastAsia="en-GB"/>
    </w:rPr>
  </w:style>
  <w:style w:type="character" w:customStyle="1" w:styleId="Heading4NumbersChar">
    <w:name w:val="Heading 4 Numbers Char"/>
    <w:basedOn w:val="Heading3NumChar"/>
    <w:link w:val="Heading4Numbers"/>
    <w:uiPriority w:val="3"/>
    <w:rsid w:val="00F93097"/>
    <w:rPr>
      <w:rFonts w:ascii="Arial" w:eastAsia="Times New Roman" w:hAnsi="Arial" w:cs="Arial"/>
      <w:b/>
      <w:bCs w:val="0"/>
      <w:iCs/>
      <w:color w:val="455560"/>
      <w:sz w:val="20"/>
      <w:szCs w:val="20"/>
      <w:lang w:eastAsia="en-GB"/>
    </w:rPr>
  </w:style>
  <w:style w:type="paragraph" w:customStyle="1" w:styleId="BodyTextNew">
    <w:name w:val="Body Text New"/>
    <w:basedOn w:val="BodyText"/>
    <w:link w:val="BodyTextNewChar"/>
    <w:uiPriority w:val="3"/>
    <w:rsid w:val="00F93097"/>
    <w:pPr>
      <w:spacing w:before="20" w:after="20" w:line="280" w:lineRule="atLeast"/>
      <w:textAlignment w:val="auto"/>
    </w:pPr>
    <w:rPr>
      <w:rFonts w:cs="Arial"/>
      <w:iCs/>
      <w:color w:val="455560"/>
      <w:sz w:val="20"/>
      <w:szCs w:val="20"/>
    </w:rPr>
  </w:style>
  <w:style w:type="paragraph" w:customStyle="1" w:styleId="BulletHymansNew">
    <w:name w:val="Bullet Hymans New"/>
    <w:basedOn w:val="BulletHymans"/>
    <w:link w:val="BulletHymansNewChar"/>
    <w:uiPriority w:val="3"/>
    <w:rsid w:val="00F93097"/>
    <w:pPr>
      <w:numPr>
        <w:numId w:val="12"/>
      </w:numPr>
    </w:pPr>
    <w:rPr>
      <w:color w:val="455560"/>
    </w:rPr>
  </w:style>
  <w:style w:type="character" w:customStyle="1" w:styleId="BodyTextNewChar">
    <w:name w:val="Body Text New Char"/>
    <w:basedOn w:val="BodyTextChar"/>
    <w:link w:val="BodyTextNew"/>
    <w:uiPriority w:val="3"/>
    <w:rsid w:val="00F93097"/>
    <w:rPr>
      <w:rFonts w:ascii="Arial" w:eastAsia="Times New Roman" w:hAnsi="Arial" w:cs="Arial"/>
      <w:iCs/>
      <w:color w:val="455560"/>
      <w:sz w:val="20"/>
      <w:szCs w:val="20"/>
      <w:lang w:eastAsia="en-GB"/>
    </w:rPr>
  </w:style>
  <w:style w:type="character" w:customStyle="1" w:styleId="BulletHymansNewChar">
    <w:name w:val="Bullet Hymans New Char"/>
    <w:basedOn w:val="BulletHymansChar"/>
    <w:link w:val="BulletHymansNew"/>
    <w:uiPriority w:val="3"/>
    <w:rsid w:val="00F93097"/>
    <w:rPr>
      <w:rFonts w:ascii="Arial" w:eastAsia="Times New Roman" w:hAnsi="Arial" w:cs="Arial"/>
      <w:iCs/>
      <w:color w:val="455560"/>
      <w:sz w:val="20"/>
      <w:szCs w:val="20"/>
    </w:rPr>
  </w:style>
  <w:style w:type="paragraph" w:customStyle="1" w:styleId="AppendixSubheading">
    <w:name w:val="Appendix Subheading"/>
    <w:basedOn w:val="Subheading"/>
    <w:link w:val="AppendixSubheadingChar"/>
    <w:uiPriority w:val="3"/>
    <w:rsid w:val="00F93097"/>
  </w:style>
  <w:style w:type="paragraph" w:customStyle="1" w:styleId="TableOfContents">
    <w:name w:val="TableOfContents"/>
    <w:basedOn w:val="TOC1"/>
    <w:link w:val="TableOfContentsChar"/>
    <w:uiPriority w:val="3"/>
    <w:qFormat/>
    <w:rsid w:val="00F93097"/>
    <w:pPr>
      <w:tabs>
        <w:tab w:val="clear" w:pos="6124"/>
        <w:tab w:val="left" w:pos="9526"/>
        <w:tab w:val="right" w:pos="9849"/>
        <w:tab w:val="left" w:pos="11656"/>
      </w:tabs>
      <w:ind w:left="-125"/>
    </w:pPr>
    <w:rPr>
      <w:noProof/>
    </w:rPr>
  </w:style>
  <w:style w:type="character" w:customStyle="1" w:styleId="AppendixSubheadingChar">
    <w:name w:val="Appendix Subheading Char"/>
    <w:basedOn w:val="SubheadingChar"/>
    <w:link w:val="AppendixSubheading"/>
    <w:uiPriority w:val="3"/>
    <w:rsid w:val="00F93097"/>
    <w:rPr>
      <w:rFonts w:ascii="Arial" w:eastAsia="Times New Roman" w:hAnsi="Arial" w:cs="Arial"/>
      <w:b w:val="0"/>
      <w:bCs w:val="0"/>
      <w:iCs/>
      <w:color w:val="70AD47" w:themeColor="accent6"/>
      <w:sz w:val="36"/>
      <w:szCs w:val="36"/>
      <w:lang w:eastAsia="en-GB"/>
    </w:rPr>
  </w:style>
  <w:style w:type="character" w:customStyle="1" w:styleId="TOC1Char">
    <w:name w:val="TOC 1 Char"/>
    <w:basedOn w:val="DefaultParagraphFont"/>
    <w:link w:val="TOC1"/>
    <w:uiPriority w:val="39"/>
    <w:rsid w:val="00F93097"/>
    <w:rPr>
      <w:rFonts w:ascii="Arial" w:eastAsia="Times New Roman" w:hAnsi="Arial" w:cs="Arial"/>
      <w:iCs/>
      <w:color w:val="4B4B4B"/>
      <w:sz w:val="20"/>
      <w:szCs w:val="20"/>
      <w:lang w:eastAsia="en-GB"/>
    </w:rPr>
  </w:style>
  <w:style w:type="character" w:customStyle="1" w:styleId="TableOfContentsChar">
    <w:name w:val="TableOfContents Char"/>
    <w:basedOn w:val="TOC1Char"/>
    <w:link w:val="TableOfContents"/>
    <w:uiPriority w:val="3"/>
    <w:rsid w:val="00F93097"/>
    <w:rPr>
      <w:rFonts w:ascii="Arial" w:eastAsia="Times New Roman" w:hAnsi="Arial" w:cs="Arial"/>
      <w:iCs/>
      <w:noProof/>
      <w:color w:val="4B4B4B"/>
      <w:sz w:val="20"/>
      <w:szCs w:val="20"/>
      <w:lang w:eastAsia="en-GB"/>
    </w:rPr>
  </w:style>
  <w:style w:type="paragraph" w:customStyle="1" w:styleId="AppendixTitle">
    <w:name w:val="Appendix Title"/>
    <w:basedOn w:val="TitleNewGrey"/>
    <w:link w:val="AppendixTitleChar"/>
    <w:uiPriority w:val="3"/>
    <w:qFormat/>
    <w:rsid w:val="00F93097"/>
  </w:style>
  <w:style w:type="character" w:customStyle="1" w:styleId="AppendixTitleChar">
    <w:name w:val="Appendix Title Char"/>
    <w:basedOn w:val="TitleNewGreyChar"/>
    <w:link w:val="AppendixTitle"/>
    <w:uiPriority w:val="3"/>
    <w:rsid w:val="00F93097"/>
    <w:rPr>
      <w:rFonts w:ascii="Times New Roman" w:eastAsia="Times New Roman" w:hAnsi="Times New Roman" w:cs="Times New Roman"/>
      <w:iCs/>
      <w:caps w:val="0"/>
      <w:snapToGrid/>
      <w:color w:val="455560"/>
      <w:sz w:val="80"/>
      <w:szCs w:val="80"/>
      <w:lang w:eastAsia="en-GB"/>
    </w:rPr>
  </w:style>
  <w:style w:type="character" w:customStyle="1" w:styleId="HeaderTextBlue">
    <w:name w:val="Header Text Blue"/>
    <w:uiPriority w:val="1"/>
    <w:qFormat/>
    <w:rsid w:val="00F93097"/>
    <w:rPr>
      <w:rFonts w:ascii="Arial" w:hAnsi="Arial"/>
      <w:b w:val="0"/>
      <w:i w:val="0"/>
      <w:caps w:val="0"/>
      <w:smallCaps w:val="0"/>
      <w:strike w:val="0"/>
      <w:dstrike w:val="0"/>
      <w:vanish w:val="0"/>
      <w:color w:val="000000" w:themeColor="text1"/>
      <w:sz w:val="20"/>
      <w:u w:val="none"/>
      <w:vertAlign w:val="baseline"/>
    </w:rPr>
  </w:style>
  <w:style w:type="paragraph" w:customStyle="1" w:styleId="CoverDate">
    <w:name w:val="Cover Date"/>
    <w:basedOn w:val="Subheading"/>
    <w:link w:val="CoverDateChar"/>
    <w:uiPriority w:val="3"/>
    <w:rsid w:val="00F93097"/>
    <w:pPr>
      <w:framePr w:hSpace="180" w:wrap="around" w:vAnchor="text" w:hAnchor="margin" w:y="6"/>
    </w:pPr>
    <w:rPr>
      <w:color w:val="455560"/>
      <w:sz w:val="24"/>
    </w:rPr>
  </w:style>
  <w:style w:type="character" w:customStyle="1" w:styleId="CoverDateChar">
    <w:name w:val="Cover Date Char"/>
    <w:basedOn w:val="SubheadingChar"/>
    <w:link w:val="CoverDate"/>
    <w:uiPriority w:val="3"/>
    <w:rsid w:val="00F93097"/>
    <w:rPr>
      <w:rFonts w:ascii="Arial" w:eastAsia="Times New Roman" w:hAnsi="Arial" w:cs="Arial"/>
      <w:b w:val="0"/>
      <w:bCs w:val="0"/>
      <w:iCs/>
      <w:color w:val="455560"/>
      <w:sz w:val="24"/>
      <w:szCs w:val="36"/>
      <w:lang w:eastAsia="en-GB"/>
    </w:rPr>
  </w:style>
  <w:style w:type="paragraph" w:styleId="TOCHeading">
    <w:name w:val="TOC Heading"/>
    <w:basedOn w:val="Heading1"/>
    <w:next w:val="Normal"/>
    <w:uiPriority w:val="39"/>
    <w:unhideWhenUsed/>
    <w:qFormat/>
    <w:rsid w:val="00F93097"/>
    <w:pPr>
      <w:spacing w:line="259" w:lineRule="auto"/>
      <w:textAlignment w:val="auto"/>
      <w:outlineLvl w:val="9"/>
    </w:pPr>
    <w:rPr>
      <w:rFonts w:asciiTheme="majorHAnsi" w:hAnsiTheme="majorHAnsi" w:cstheme="majorBidi"/>
      <w:b w:val="0"/>
      <w:bCs w:val="0"/>
      <w:color w:val="2F5496" w:themeColor="accent1" w:themeShade="BF"/>
      <w:sz w:val="32"/>
      <w:szCs w:val="32"/>
      <w:lang w:val="en-US" w:eastAsia="en-US"/>
    </w:rPr>
  </w:style>
  <w:style w:type="character" w:customStyle="1" w:styleId="fontstyle01">
    <w:name w:val="fontstyle01"/>
    <w:basedOn w:val="DefaultParagraphFont"/>
    <w:rsid w:val="00F93097"/>
    <w:rPr>
      <w:rFonts w:ascii="FSLola-Bold" w:hAnsi="FSLola-Bold" w:hint="default"/>
      <w:b/>
      <w:bCs/>
      <w:i w:val="0"/>
      <w:iCs w:val="0"/>
      <w:color w:val="242021"/>
      <w:sz w:val="24"/>
      <w:szCs w:val="24"/>
    </w:rPr>
  </w:style>
  <w:style w:type="paragraph" w:styleId="NormalWeb">
    <w:name w:val="Normal (Web)"/>
    <w:basedOn w:val="Normal"/>
    <w:uiPriority w:val="99"/>
    <w:unhideWhenUsed/>
    <w:rsid w:val="00F93097"/>
    <w:pPr>
      <w:spacing w:before="100" w:beforeAutospacing="1" w:after="100" w:afterAutospacing="1"/>
      <w:textAlignment w:val="auto"/>
    </w:pPr>
    <w:rPr>
      <w:rFonts w:ascii="Times New Roman" w:hAnsi="Times New Roman"/>
    </w:rPr>
  </w:style>
  <w:style w:type="character" w:customStyle="1" w:styleId="ui-provider">
    <w:name w:val="ui-provider"/>
    <w:basedOn w:val="DefaultParagraphFont"/>
    <w:rsid w:val="00F93097"/>
  </w:style>
  <w:style w:type="table" w:customStyle="1" w:styleId="TableGrid0">
    <w:name w:val="TableGrid"/>
    <w:rsid w:val="00F93097"/>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F93097"/>
    <w:pPr>
      <w:spacing w:before="100" w:beforeAutospacing="1" w:after="100" w:afterAutospacing="1"/>
      <w:textAlignment w:val="auto"/>
    </w:pPr>
    <w:rPr>
      <w:rFonts w:ascii="Times New Roman" w:hAnsi="Times New Roman"/>
    </w:rPr>
  </w:style>
  <w:style w:type="character" w:customStyle="1" w:styleId="eop">
    <w:name w:val="eop"/>
    <w:basedOn w:val="DefaultParagraphFont"/>
    <w:rsid w:val="00F93097"/>
  </w:style>
  <w:style w:type="table" w:styleId="MediumList2-Accent1">
    <w:name w:val="Medium List 2 Accent 1"/>
    <w:basedOn w:val="TableNormal"/>
    <w:uiPriority w:val="66"/>
    <w:rsid w:val="00E06DC8"/>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833439">
      <w:bodyDiv w:val="1"/>
      <w:marLeft w:val="0"/>
      <w:marRight w:val="0"/>
      <w:marTop w:val="0"/>
      <w:marBottom w:val="0"/>
      <w:divBdr>
        <w:top w:val="none" w:sz="0" w:space="0" w:color="auto"/>
        <w:left w:val="none" w:sz="0" w:space="0" w:color="auto"/>
        <w:bottom w:val="none" w:sz="0" w:space="0" w:color="auto"/>
        <w:right w:val="none" w:sz="0" w:space="0" w:color="auto"/>
      </w:divBdr>
    </w:div>
    <w:div w:id="1813282009">
      <w:bodyDiv w:val="1"/>
      <w:marLeft w:val="0"/>
      <w:marRight w:val="0"/>
      <w:marTop w:val="0"/>
      <w:marBottom w:val="0"/>
      <w:divBdr>
        <w:top w:val="none" w:sz="0" w:space="0" w:color="auto"/>
        <w:left w:val="none" w:sz="0" w:space="0" w:color="auto"/>
        <w:bottom w:val="none" w:sz="0" w:space="0" w:color="auto"/>
        <w:right w:val="none" w:sz="0" w:space="0" w:color="auto"/>
      </w:divBdr>
      <w:divsChild>
        <w:div w:id="37584472">
          <w:marLeft w:val="0"/>
          <w:marRight w:val="0"/>
          <w:marTop w:val="0"/>
          <w:marBottom w:val="0"/>
          <w:divBdr>
            <w:top w:val="none" w:sz="0" w:space="0" w:color="auto"/>
            <w:left w:val="none" w:sz="0" w:space="0" w:color="auto"/>
            <w:bottom w:val="none" w:sz="0" w:space="0" w:color="auto"/>
            <w:right w:val="none" w:sz="0" w:space="0" w:color="auto"/>
          </w:divBdr>
          <w:divsChild>
            <w:div w:id="349766296">
              <w:marLeft w:val="0"/>
              <w:marRight w:val="0"/>
              <w:marTop w:val="0"/>
              <w:marBottom w:val="0"/>
              <w:divBdr>
                <w:top w:val="none" w:sz="0" w:space="0" w:color="auto"/>
                <w:left w:val="none" w:sz="0" w:space="0" w:color="auto"/>
                <w:bottom w:val="none" w:sz="0" w:space="0" w:color="auto"/>
                <w:right w:val="none" w:sz="0" w:space="0" w:color="auto"/>
              </w:divBdr>
            </w:div>
            <w:div w:id="1137142941">
              <w:marLeft w:val="0"/>
              <w:marRight w:val="0"/>
              <w:marTop w:val="0"/>
              <w:marBottom w:val="0"/>
              <w:divBdr>
                <w:top w:val="none" w:sz="0" w:space="0" w:color="auto"/>
                <w:left w:val="none" w:sz="0" w:space="0" w:color="auto"/>
                <w:bottom w:val="none" w:sz="0" w:space="0" w:color="auto"/>
                <w:right w:val="none" w:sz="0" w:space="0" w:color="auto"/>
              </w:divBdr>
            </w:div>
            <w:div w:id="1664820308">
              <w:marLeft w:val="0"/>
              <w:marRight w:val="0"/>
              <w:marTop w:val="0"/>
              <w:marBottom w:val="0"/>
              <w:divBdr>
                <w:top w:val="none" w:sz="0" w:space="0" w:color="auto"/>
                <w:left w:val="none" w:sz="0" w:space="0" w:color="auto"/>
                <w:bottom w:val="none" w:sz="0" w:space="0" w:color="auto"/>
                <w:right w:val="none" w:sz="0" w:space="0" w:color="auto"/>
              </w:divBdr>
            </w:div>
            <w:div w:id="2017269382">
              <w:marLeft w:val="0"/>
              <w:marRight w:val="0"/>
              <w:marTop w:val="0"/>
              <w:marBottom w:val="0"/>
              <w:divBdr>
                <w:top w:val="none" w:sz="0" w:space="0" w:color="auto"/>
                <w:left w:val="none" w:sz="0" w:space="0" w:color="auto"/>
                <w:bottom w:val="none" w:sz="0" w:space="0" w:color="auto"/>
                <w:right w:val="none" w:sz="0" w:space="0" w:color="auto"/>
              </w:divBdr>
            </w:div>
          </w:divsChild>
        </w:div>
        <w:div w:id="56559821">
          <w:marLeft w:val="0"/>
          <w:marRight w:val="0"/>
          <w:marTop w:val="0"/>
          <w:marBottom w:val="0"/>
          <w:divBdr>
            <w:top w:val="none" w:sz="0" w:space="0" w:color="auto"/>
            <w:left w:val="none" w:sz="0" w:space="0" w:color="auto"/>
            <w:bottom w:val="none" w:sz="0" w:space="0" w:color="auto"/>
            <w:right w:val="none" w:sz="0" w:space="0" w:color="auto"/>
          </w:divBdr>
        </w:div>
        <w:div w:id="56712444">
          <w:marLeft w:val="0"/>
          <w:marRight w:val="0"/>
          <w:marTop w:val="0"/>
          <w:marBottom w:val="0"/>
          <w:divBdr>
            <w:top w:val="none" w:sz="0" w:space="0" w:color="auto"/>
            <w:left w:val="none" w:sz="0" w:space="0" w:color="auto"/>
            <w:bottom w:val="none" w:sz="0" w:space="0" w:color="auto"/>
            <w:right w:val="none" w:sz="0" w:space="0" w:color="auto"/>
          </w:divBdr>
        </w:div>
        <w:div w:id="84041640">
          <w:marLeft w:val="0"/>
          <w:marRight w:val="0"/>
          <w:marTop w:val="0"/>
          <w:marBottom w:val="0"/>
          <w:divBdr>
            <w:top w:val="none" w:sz="0" w:space="0" w:color="auto"/>
            <w:left w:val="none" w:sz="0" w:space="0" w:color="auto"/>
            <w:bottom w:val="none" w:sz="0" w:space="0" w:color="auto"/>
            <w:right w:val="none" w:sz="0" w:space="0" w:color="auto"/>
          </w:divBdr>
        </w:div>
        <w:div w:id="103350746">
          <w:marLeft w:val="0"/>
          <w:marRight w:val="0"/>
          <w:marTop w:val="0"/>
          <w:marBottom w:val="0"/>
          <w:divBdr>
            <w:top w:val="none" w:sz="0" w:space="0" w:color="auto"/>
            <w:left w:val="none" w:sz="0" w:space="0" w:color="auto"/>
            <w:bottom w:val="none" w:sz="0" w:space="0" w:color="auto"/>
            <w:right w:val="none" w:sz="0" w:space="0" w:color="auto"/>
          </w:divBdr>
        </w:div>
        <w:div w:id="115803578">
          <w:marLeft w:val="0"/>
          <w:marRight w:val="0"/>
          <w:marTop w:val="0"/>
          <w:marBottom w:val="0"/>
          <w:divBdr>
            <w:top w:val="none" w:sz="0" w:space="0" w:color="auto"/>
            <w:left w:val="none" w:sz="0" w:space="0" w:color="auto"/>
            <w:bottom w:val="none" w:sz="0" w:space="0" w:color="auto"/>
            <w:right w:val="none" w:sz="0" w:space="0" w:color="auto"/>
          </w:divBdr>
        </w:div>
        <w:div w:id="135297482">
          <w:marLeft w:val="0"/>
          <w:marRight w:val="0"/>
          <w:marTop w:val="0"/>
          <w:marBottom w:val="0"/>
          <w:divBdr>
            <w:top w:val="none" w:sz="0" w:space="0" w:color="auto"/>
            <w:left w:val="none" w:sz="0" w:space="0" w:color="auto"/>
            <w:bottom w:val="none" w:sz="0" w:space="0" w:color="auto"/>
            <w:right w:val="none" w:sz="0" w:space="0" w:color="auto"/>
          </w:divBdr>
          <w:divsChild>
            <w:div w:id="65080630">
              <w:marLeft w:val="0"/>
              <w:marRight w:val="0"/>
              <w:marTop w:val="0"/>
              <w:marBottom w:val="0"/>
              <w:divBdr>
                <w:top w:val="none" w:sz="0" w:space="0" w:color="auto"/>
                <w:left w:val="none" w:sz="0" w:space="0" w:color="auto"/>
                <w:bottom w:val="none" w:sz="0" w:space="0" w:color="auto"/>
                <w:right w:val="none" w:sz="0" w:space="0" w:color="auto"/>
              </w:divBdr>
            </w:div>
            <w:div w:id="685441678">
              <w:marLeft w:val="0"/>
              <w:marRight w:val="0"/>
              <w:marTop w:val="0"/>
              <w:marBottom w:val="0"/>
              <w:divBdr>
                <w:top w:val="none" w:sz="0" w:space="0" w:color="auto"/>
                <w:left w:val="none" w:sz="0" w:space="0" w:color="auto"/>
                <w:bottom w:val="none" w:sz="0" w:space="0" w:color="auto"/>
                <w:right w:val="none" w:sz="0" w:space="0" w:color="auto"/>
              </w:divBdr>
            </w:div>
            <w:div w:id="1188056867">
              <w:marLeft w:val="0"/>
              <w:marRight w:val="0"/>
              <w:marTop w:val="0"/>
              <w:marBottom w:val="0"/>
              <w:divBdr>
                <w:top w:val="none" w:sz="0" w:space="0" w:color="auto"/>
                <w:left w:val="none" w:sz="0" w:space="0" w:color="auto"/>
                <w:bottom w:val="none" w:sz="0" w:space="0" w:color="auto"/>
                <w:right w:val="none" w:sz="0" w:space="0" w:color="auto"/>
              </w:divBdr>
            </w:div>
          </w:divsChild>
        </w:div>
        <w:div w:id="176625316">
          <w:marLeft w:val="0"/>
          <w:marRight w:val="0"/>
          <w:marTop w:val="0"/>
          <w:marBottom w:val="0"/>
          <w:divBdr>
            <w:top w:val="none" w:sz="0" w:space="0" w:color="auto"/>
            <w:left w:val="none" w:sz="0" w:space="0" w:color="auto"/>
            <w:bottom w:val="none" w:sz="0" w:space="0" w:color="auto"/>
            <w:right w:val="none" w:sz="0" w:space="0" w:color="auto"/>
          </w:divBdr>
        </w:div>
        <w:div w:id="182860422">
          <w:marLeft w:val="0"/>
          <w:marRight w:val="0"/>
          <w:marTop w:val="0"/>
          <w:marBottom w:val="0"/>
          <w:divBdr>
            <w:top w:val="none" w:sz="0" w:space="0" w:color="auto"/>
            <w:left w:val="none" w:sz="0" w:space="0" w:color="auto"/>
            <w:bottom w:val="none" w:sz="0" w:space="0" w:color="auto"/>
            <w:right w:val="none" w:sz="0" w:space="0" w:color="auto"/>
          </w:divBdr>
        </w:div>
        <w:div w:id="218636609">
          <w:marLeft w:val="0"/>
          <w:marRight w:val="0"/>
          <w:marTop w:val="0"/>
          <w:marBottom w:val="0"/>
          <w:divBdr>
            <w:top w:val="none" w:sz="0" w:space="0" w:color="auto"/>
            <w:left w:val="none" w:sz="0" w:space="0" w:color="auto"/>
            <w:bottom w:val="none" w:sz="0" w:space="0" w:color="auto"/>
            <w:right w:val="none" w:sz="0" w:space="0" w:color="auto"/>
          </w:divBdr>
        </w:div>
        <w:div w:id="225527887">
          <w:marLeft w:val="0"/>
          <w:marRight w:val="0"/>
          <w:marTop w:val="0"/>
          <w:marBottom w:val="0"/>
          <w:divBdr>
            <w:top w:val="none" w:sz="0" w:space="0" w:color="auto"/>
            <w:left w:val="none" w:sz="0" w:space="0" w:color="auto"/>
            <w:bottom w:val="none" w:sz="0" w:space="0" w:color="auto"/>
            <w:right w:val="none" w:sz="0" w:space="0" w:color="auto"/>
          </w:divBdr>
        </w:div>
        <w:div w:id="243802305">
          <w:marLeft w:val="0"/>
          <w:marRight w:val="0"/>
          <w:marTop w:val="0"/>
          <w:marBottom w:val="0"/>
          <w:divBdr>
            <w:top w:val="none" w:sz="0" w:space="0" w:color="auto"/>
            <w:left w:val="none" w:sz="0" w:space="0" w:color="auto"/>
            <w:bottom w:val="none" w:sz="0" w:space="0" w:color="auto"/>
            <w:right w:val="none" w:sz="0" w:space="0" w:color="auto"/>
          </w:divBdr>
        </w:div>
        <w:div w:id="260383700">
          <w:marLeft w:val="0"/>
          <w:marRight w:val="0"/>
          <w:marTop w:val="0"/>
          <w:marBottom w:val="0"/>
          <w:divBdr>
            <w:top w:val="none" w:sz="0" w:space="0" w:color="auto"/>
            <w:left w:val="none" w:sz="0" w:space="0" w:color="auto"/>
            <w:bottom w:val="none" w:sz="0" w:space="0" w:color="auto"/>
            <w:right w:val="none" w:sz="0" w:space="0" w:color="auto"/>
          </w:divBdr>
        </w:div>
        <w:div w:id="345669334">
          <w:marLeft w:val="0"/>
          <w:marRight w:val="0"/>
          <w:marTop w:val="0"/>
          <w:marBottom w:val="0"/>
          <w:divBdr>
            <w:top w:val="none" w:sz="0" w:space="0" w:color="auto"/>
            <w:left w:val="none" w:sz="0" w:space="0" w:color="auto"/>
            <w:bottom w:val="none" w:sz="0" w:space="0" w:color="auto"/>
            <w:right w:val="none" w:sz="0" w:space="0" w:color="auto"/>
          </w:divBdr>
        </w:div>
        <w:div w:id="401028875">
          <w:marLeft w:val="0"/>
          <w:marRight w:val="0"/>
          <w:marTop w:val="0"/>
          <w:marBottom w:val="0"/>
          <w:divBdr>
            <w:top w:val="none" w:sz="0" w:space="0" w:color="auto"/>
            <w:left w:val="none" w:sz="0" w:space="0" w:color="auto"/>
            <w:bottom w:val="none" w:sz="0" w:space="0" w:color="auto"/>
            <w:right w:val="none" w:sz="0" w:space="0" w:color="auto"/>
          </w:divBdr>
        </w:div>
        <w:div w:id="403454475">
          <w:marLeft w:val="0"/>
          <w:marRight w:val="0"/>
          <w:marTop w:val="0"/>
          <w:marBottom w:val="0"/>
          <w:divBdr>
            <w:top w:val="none" w:sz="0" w:space="0" w:color="auto"/>
            <w:left w:val="none" w:sz="0" w:space="0" w:color="auto"/>
            <w:bottom w:val="none" w:sz="0" w:space="0" w:color="auto"/>
            <w:right w:val="none" w:sz="0" w:space="0" w:color="auto"/>
          </w:divBdr>
          <w:divsChild>
            <w:div w:id="147980739">
              <w:marLeft w:val="0"/>
              <w:marRight w:val="0"/>
              <w:marTop w:val="0"/>
              <w:marBottom w:val="0"/>
              <w:divBdr>
                <w:top w:val="none" w:sz="0" w:space="0" w:color="auto"/>
                <w:left w:val="none" w:sz="0" w:space="0" w:color="auto"/>
                <w:bottom w:val="none" w:sz="0" w:space="0" w:color="auto"/>
                <w:right w:val="none" w:sz="0" w:space="0" w:color="auto"/>
              </w:divBdr>
            </w:div>
            <w:div w:id="539129144">
              <w:marLeft w:val="0"/>
              <w:marRight w:val="0"/>
              <w:marTop w:val="0"/>
              <w:marBottom w:val="0"/>
              <w:divBdr>
                <w:top w:val="none" w:sz="0" w:space="0" w:color="auto"/>
                <w:left w:val="none" w:sz="0" w:space="0" w:color="auto"/>
                <w:bottom w:val="none" w:sz="0" w:space="0" w:color="auto"/>
                <w:right w:val="none" w:sz="0" w:space="0" w:color="auto"/>
              </w:divBdr>
            </w:div>
            <w:div w:id="2122796752">
              <w:marLeft w:val="0"/>
              <w:marRight w:val="0"/>
              <w:marTop w:val="0"/>
              <w:marBottom w:val="0"/>
              <w:divBdr>
                <w:top w:val="none" w:sz="0" w:space="0" w:color="auto"/>
                <w:left w:val="none" w:sz="0" w:space="0" w:color="auto"/>
                <w:bottom w:val="none" w:sz="0" w:space="0" w:color="auto"/>
                <w:right w:val="none" w:sz="0" w:space="0" w:color="auto"/>
              </w:divBdr>
            </w:div>
          </w:divsChild>
        </w:div>
        <w:div w:id="429424490">
          <w:marLeft w:val="0"/>
          <w:marRight w:val="0"/>
          <w:marTop w:val="0"/>
          <w:marBottom w:val="0"/>
          <w:divBdr>
            <w:top w:val="none" w:sz="0" w:space="0" w:color="auto"/>
            <w:left w:val="none" w:sz="0" w:space="0" w:color="auto"/>
            <w:bottom w:val="none" w:sz="0" w:space="0" w:color="auto"/>
            <w:right w:val="none" w:sz="0" w:space="0" w:color="auto"/>
          </w:divBdr>
        </w:div>
        <w:div w:id="432015755">
          <w:marLeft w:val="0"/>
          <w:marRight w:val="0"/>
          <w:marTop w:val="0"/>
          <w:marBottom w:val="0"/>
          <w:divBdr>
            <w:top w:val="none" w:sz="0" w:space="0" w:color="auto"/>
            <w:left w:val="none" w:sz="0" w:space="0" w:color="auto"/>
            <w:bottom w:val="none" w:sz="0" w:space="0" w:color="auto"/>
            <w:right w:val="none" w:sz="0" w:space="0" w:color="auto"/>
          </w:divBdr>
        </w:div>
        <w:div w:id="436370678">
          <w:marLeft w:val="0"/>
          <w:marRight w:val="0"/>
          <w:marTop w:val="0"/>
          <w:marBottom w:val="0"/>
          <w:divBdr>
            <w:top w:val="none" w:sz="0" w:space="0" w:color="auto"/>
            <w:left w:val="none" w:sz="0" w:space="0" w:color="auto"/>
            <w:bottom w:val="none" w:sz="0" w:space="0" w:color="auto"/>
            <w:right w:val="none" w:sz="0" w:space="0" w:color="auto"/>
          </w:divBdr>
        </w:div>
        <w:div w:id="440154007">
          <w:marLeft w:val="0"/>
          <w:marRight w:val="0"/>
          <w:marTop w:val="0"/>
          <w:marBottom w:val="0"/>
          <w:divBdr>
            <w:top w:val="none" w:sz="0" w:space="0" w:color="auto"/>
            <w:left w:val="none" w:sz="0" w:space="0" w:color="auto"/>
            <w:bottom w:val="none" w:sz="0" w:space="0" w:color="auto"/>
            <w:right w:val="none" w:sz="0" w:space="0" w:color="auto"/>
          </w:divBdr>
        </w:div>
        <w:div w:id="442457452">
          <w:marLeft w:val="0"/>
          <w:marRight w:val="0"/>
          <w:marTop w:val="0"/>
          <w:marBottom w:val="0"/>
          <w:divBdr>
            <w:top w:val="none" w:sz="0" w:space="0" w:color="auto"/>
            <w:left w:val="none" w:sz="0" w:space="0" w:color="auto"/>
            <w:bottom w:val="none" w:sz="0" w:space="0" w:color="auto"/>
            <w:right w:val="none" w:sz="0" w:space="0" w:color="auto"/>
          </w:divBdr>
        </w:div>
        <w:div w:id="486240567">
          <w:marLeft w:val="0"/>
          <w:marRight w:val="0"/>
          <w:marTop w:val="0"/>
          <w:marBottom w:val="0"/>
          <w:divBdr>
            <w:top w:val="none" w:sz="0" w:space="0" w:color="auto"/>
            <w:left w:val="none" w:sz="0" w:space="0" w:color="auto"/>
            <w:bottom w:val="none" w:sz="0" w:space="0" w:color="auto"/>
            <w:right w:val="none" w:sz="0" w:space="0" w:color="auto"/>
          </w:divBdr>
        </w:div>
        <w:div w:id="487789152">
          <w:marLeft w:val="0"/>
          <w:marRight w:val="0"/>
          <w:marTop w:val="0"/>
          <w:marBottom w:val="0"/>
          <w:divBdr>
            <w:top w:val="none" w:sz="0" w:space="0" w:color="auto"/>
            <w:left w:val="none" w:sz="0" w:space="0" w:color="auto"/>
            <w:bottom w:val="none" w:sz="0" w:space="0" w:color="auto"/>
            <w:right w:val="none" w:sz="0" w:space="0" w:color="auto"/>
          </w:divBdr>
          <w:divsChild>
            <w:div w:id="1091849292">
              <w:marLeft w:val="0"/>
              <w:marRight w:val="0"/>
              <w:marTop w:val="0"/>
              <w:marBottom w:val="0"/>
              <w:divBdr>
                <w:top w:val="none" w:sz="0" w:space="0" w:color="auto"/>
                <w:left w:val="none" w:sz="0" w:space="0" w:color="auto"/>
                <w:bottom w:val="none" w:sz="0" w:space="0" w:color="auto"/>
                <w:right w:val="none" w:sz="0" w:space="0" w:color="auto"/>
              </w:divBdr>
            </w:div>
            <w:div w:id="1530412867">
              <w:marLeft w:val="0"/>
              <w:marRight w:val="0"/>
              <w:marTop w:val="0"/>
              <w:marBottom w:val="0"/>
              <w:divBdr>
                <w:top w:val="none" w:sz="0" w:space="0" w:color="auto"/>
                <w:left w:val="none" w:sz="0" w:space="0" w:color="auto"/>
                <w:bottom w:val="none" w:sz="0" w:space="0" w:color="auto"/>
                <w:right w:val="none" w:sz="0" w:space="0" w:color="auto"/>
              </w:divBdr>
            </w:div>
            <w:div w:id="1987776930">
              <w:marLeft w:val="0"/>
              <w:marRight w:val="0"/>
              <w:marTop w:val="0"/>
              <w:marBottom w:val="0"/>
              <w:divBdr>
                <w:top w:val="none" w:sz="0" w:space="0" w:color="auto"/>
                <w:left w:val="none" w:sz="0" w:space="0" w:color="auto"/>
                <w:bottom w:val="none" w:sz="0" w:space="0" w:color="auto"/>
                <w:right w:val="none" w:sz="0" w:space="0" w:color="auto"/>
              </w:divBdr>
            </w:div>
          </w:divsChild>
        </w:div>
        <w:div w:id="519047182">
          <w:marLeft w:val="0"/>
          <w:marRight w:val="0"/>
          <w:marTop w:val="0"/>
          <w:marBottom w:val="0"/>
          <w:divBdr>
            <w:top w:val="none" w:sz="0" w:space="0" w:color="auto"/>
            <w:left w:val="none" w:sz="0" w:space="0" w:color="auto"/>
            <w:bottom w:val="none" w:sz="0" w:space="0" w:color="auto"/>
            <w:right w:val="none" w:sz="0" w:space="0" w:color="auto"/>
          </w:divBdr>
          <w:divsChild>
            <w:div w:id="223950740">
              <w:marLeft w:val="0"/>
              <w:marRight w:val="0"/>
              <w:marTop w:val="0"/>
              <w:marBottom w:val="0"/>
              <w:divBdr>
                <w:top w:val="none" w:sz="0" w:space="0" w:color="auto"/>
                <w:left w:val="none" w:sz="0" w:space="0" w:color="auto"/>
                <w:bottom w:val="none" w:sz="0" w:space="0" w:color="auto"/>
                <w:right w:val="none" w:sz="0" w:space="0" w:color="auto"/>
              </w:divBdr>
            </w:div>
            <w:div w:id="339431440">
              <w:marLeft w:val="0"/>
              <w:marRight w:val="0"/>
              <w:marTop w:val="0"/>
              <w:marBottom w:val="0"/>
              <w:divBdr>
                <w:top w:val="none" w:sz="0" w:space="0" w:color="auto"/>
                <w:left w:val="none" w:sz="0" w:space="0" w:color="auto"/>
                <w:bottom w:val="none" w:sz="0" w:space="0" w:color="auto"/>
                <w:right w:val="none" w:sz="0" w:space="0" w:color="auto"/>
              </w:divBdr>
            </w:div>
            <w:div w:id="1036462502">
              <w:marLeft w:val="0"/>
              <w:marRight w:val="0"/>
              <w:marTop w:val="0"/>
              <w:marBottom w:val="0"/>
              <w:divBdr>
                <w:top w:val="none" w:sz="0" w:space="0" w:color="auto"/>
                <w:left w:val="none" w:sz="0" w:space="0" w:color="auto"/>
                <w:bottom w:val="none" w:sz="0" w:space="0" w:color="auto"/>
                <w:right w:val="none" w:sz="0" w:space="0" w:color="auto"/>
              </w:divBdr>
            </w:div>
            <w:div w:id="1180044394">
              <w:marLeft w:val="0"/>
              <w:marRight w:val="0"/>
              <w:marTop w:val="0"/>
              <w:marBottom w:val="0"/>
              <w:divBdr>
                <w:top w:val="none" w:sz="0" w:space="0" w:color="auto"/>
                <w:left w:val="none" w:sz="0" w:space="0" w:color="auto"/>
                <w:bottom w:val="none" w:sz="0" w:space="0" w:color="auto"/>
                <w:right w:val="none" w:sz="0" w:space="0" w:color="auto"/>
              </w:divBdr>
            </w:div>
          </w:divsChild>
        </w:div>
        <w:div w:id="544606466">
          <w:marLeft w:val="0"/>
          <w:marRight w:val="0"/>
          <w:marTop w:val="0"/>
          <w:marBottom w:val="0"/>
          <w:divBdr>
            <w:top w:val="none" w:sz="0" w:space="0" w:color="auto"/>
            <w:left w:val="none" w:sz="0" w:space="0" w:color="auto"/>
            <w:bottom w:val="none" w:sz="0" w:space="0" w:color="auto"/>
            <w:right w:val="none" w:sz="0" w:space="0" w:color="auto"/>
          </w:divBdr>
        </w:div>
        <w:div w:id="557791228">
          <w:marLeft w:val="0"/>
          <w:marRight w:val="0"/>
          <w:marTop w:val="0"/>
          <w:marBottom w:val="0"/>
          <w:divBdr>
            <w:top w:val="none" w:sz="0" w:space="0" w:color="auto"/>
            <w:left w:val="none" w:sz="0" w:space="0" w:color="auto"/>
            <w:bottom w:val="none" w:sz="0" w:space="0" w:color="auto"/>
            <w:right w:val="none" w:sz="0" w:space="0" w:color="auto"/>
          </w:divBdr>
        </w:div>
        <w:div w:id="573005275">
          <w:marLeft w:val="0"/>
          <w:marRight w:val="0"/>
          <w:marTop w:val="0"/>
          <w:marBottom w:val="0"/>
          <w:divBdr>
            <w:top w:val="none" w:sz="0" w:space="0" w:color="auto"/>
            <w:left w:val="none" w:sz="0" w:space="0" w:color="auto"/>
            <w:bottom w:val="none" w:sz="0" w:space="0" w:color="auto"/>
            <w:right w:val="none" w:sz="0" w:space="0" w:color="auto"/>
          </w:divBdr>
        </w:div>
        <w:div w:id="579366654">
          <w:marLeft w:val="0"/>
          <w:marRight w:val="0"/>
          <w:marTop w:val="0"/>
          <w:marBottom w:val="0"/>
          <w:divBdr>
            <w:top w:val="none" w:sz="0" w:space="0" w:color="auto"/>
            <w:left w:val="none" w:sz="0" w:space="0" w:color="auto"/>
            <w:bottom w:val="none" w:sz="0" w:space="0" w:color="auto"/>
            <w:right w:val="none" w:sz="0" w:space="0" w:color="auto"/>
          </w:divBdr>
          <w:divsChild>
            <w:div w:id="356125652">
              <w:marLeft w:val="0"/>
              <w:marRight w:val="0"/>
              <w:marTop w:val="0"/>
              <w:marBottom w:val="0"/>
              <w:divBdr>
                <w:top w:val="none" w:sz="0" w:space="0" w:color="auto"/>
                <w:left w:val="none" w:sz="0" w:space="0" w:color="auto"/>
                <w:bottom w:val="none" w:sz="0" w:space="0" w:color="auto"/>
                <w:right w:val="none" w:sz="0" w:space="0" w:color="auto"/>
              </w:divBdr>
            </w:div>
            <w:div w:id="522327352">
              <w:marLeft w:val="0"/>
              <w:marRight w:val="0"/>
              <w:marTop w:val="0"/>
              <w:marBottom w:val="0"/>
              <w:divBdr>
                <w:top w:val="none" w:sz="0" w:space="0" w:color="auto"/>
                <w:left w:val="none" w:sz="0" w:space="0" w:color="auto"/>
                <w:bottom w:val="none" w:sz="0" w:space="0" w:color="auto"/>
                <w:right w:val="none" w:sz="0" w:space="0" w:color="auto"/>
              </w:divBdr>
            </w:div>
            <w:div w:id="596982342">
              <w:marLeft w:val="0"/>
              <w:marRight w:val="0"/>
              <w:marTop w:val="0"/>
              <w:marBottom w:val="0"/>
              <w:divBdr>
                <w:top w:val="none" w:sz="0" w:space="0" w:color="auto"/>
                <w:left w:val="none" w:sz="0" w:space="0" w:color="auto"/>
                <w:bottom w:val="none" w:sz="0" w:space="0" w:color="auto"/>
                <w:right w:val="none" w:sz="0" w:space="0" w:color="auto"/>
              </w:divBdr>
            </w:div>
            <w:div w:id="1120417632">
              <w:marLeft w:val="0"/>
              <w:marRight w:val="0"/>
              <w:marTop w:val="0"/>
              <w:marBottom w:val="0"/>
              <w:divBdr>
                <w:top w:val="none" w:sz="0" w:space="0" w:color="auto"/>
                <w:left w:val="none" w:sz="0" w:space="0" w:color="auto"/>
                <w:bottom w:val="none" w:sz="0" w:space="0" w:color="auto"/>
                <w:right w:val="none" w:sz="0" w:space="0" w:color="auto"/>
              </w:divBdr>
            </w:div>
            <w:div w:id="1736123132">
              <w:marLeft w:val="0"/>
              <w:marRight w:val="0"/>
              <w:marTop w:val="0"/>
              <w:marBottom w:val="0"/>
              <w:divBdr>
                <w:top w:val="none" w:sz="0" w:space="0" w:color="auto"/>
                <w:left w:val="none" w:sz="0" w:space="0" w:color="auto"/>
                <w:bottom w:val="none" w:sz="0" w:space="0" w:color="auto"/>
                <w:right w:val="none" w:sz="0" w:space="0" w:color="auto"/>
              </w:divBdr>
            </w:div>
          </w:divsChild>
        </w:div>
        <w:div w:id="587273529">
          <w:marLeft w:val="0"/>
          <w:marRight w:val="0"/>
          <w:marTop w:val="0"/>
          <w:marBottom w:val="0"/>
          <w:divBdr>
            <w:top w:val="none" w:sz="0" w:space="0" w:color="auto"/>
            <w:left w:val="none" w:sz="0" w:space="0" w:color="auto"/>
            <w:bottom w:val="none" w:sz="0" w:space="0" w:color="auto"/>
            <w:right w:val="none" w:sz="0" w:space="0" w:color="auto"/>
          </w:divBdr>
        </w:div>
        <w:div w:id="591860151">
          <w:marLeft w:val="0"/>
          <w:marRight w:val="0"/>
          <w:marTop w:val="0"/>
          <w:marBottom w:val="0"/>
          <w:divBdr>
            <w:top w:val="none" w:sz="0" w:space="0" w:color="auto"/>
            <w:left w:val="none" w:sz="0" w:space="0" w:color="auto"/>
            <w:bottom w:val="none" w:sz="0" w:space="0" w:color="auto"/>
            <w:right w:val="none" w:sz="0" w:space="0" w:color="auto"/>
          </w:divBdr>
          <w:divsChild>
            <w:div w:id="219826092">
              <w:marLeft w:val="0"/>
              <w:marRight w:val="0"/>
              <w:marTop w:val="0"/>
              <w:marBottom w:val="0"/>
              <w:divBdr>
                <w:top w:val="none" w:sz="0" w:space="0" w:color="auto"/>
                <w:left w:val="none" w:sz="0" w:space="0" w:color="auto"/>
                <w:bottom w:val="none" w:sz="0" w:space="0" w:color="auto"/>
                <w:right w:val="none" w:sz="0" w:space="0" w:color="auto"/>
              </w:divBdr>
            </w:div>
            <w:div w:id="750002654">
              <w:marLeft w:val="0"/>
              <w:marRight w:val="0"/>
              <w:marTop w:val="0"/>
              <w:marBottom w:val="0"/>
              <w:divBdr>
                <w:top w:val="none" w:sz="0" w:space="0" w:color="auto"/>
                <w:left w:val="none" w:sz="0" w:space="0" w:color="auto"/>
                <w:bottom w:val="none" w:sz="0" w:space="0" w:color="auto"/>
                <w:right w:val="none" w:sz="0" w:space="0" w:color="auto"/>
              </w:divBdr>
            </w:div>
            <w:div w:id="814952682">
              <w:marLeft w:val="0"/>
              <w:marRight w:val="0"/>
              <w:marTop w:val="0"/>
              <w:marBottom w:val="0"/>
              <w:divBdr>
                <w:top w:val="none" w:sz="0" w:space="0" w:color="auto"/>
                <w:left w:val="none" w:sz="0" w:space="0" w:color="auto"/>
                <w:bottom w:val="none" w:sz="0" w:space="0" w:color="auto"/>
                <w:right w:val="none" w:sz="0" w:space="0" w:color="auto"/>
              </w:divBdr>
            </w:div>
            <w:div w:id="1238786949">
              <w:marLeft w:val="0"/>
              <w:marRight w:val="0"/>
              <w:marTop w:val="0"/>
              <w:marBottom w:val="0"/>
              <w:divBdr>
                <w:top w:val="none" w:sz="0" w:space="0" w:color="auto"/>
                <w:left w:val="none" w:sz="0" w:space="0" w:color="auto"/>
                <w:bottom w:val="none" w:sz="0" w:space="0" w:color="auto"/>
                <w:right w:val="none" w:sz="0" w:space="0" w:color="auto"/>
              </w:divBdr>
            </w:div>
          </w:divsChild>
        </w:div>
        <w:div w:id="629748611">
          <w:marLeft w:val="0"/>
          <w:marRight w:val="0"/>
          <w:marTop w:val="0"/>
          <w:marBottom w:val="0"/>
          <w:divBdr>
            <w:top w:val="none" w:sz="0" w:space="0" w:color="auto"/>
            <w:left w:val="none" w:sz="0" w:space="0" w:color="auto"/>
            <w:bottom w:val="none" w:sz="0" w:space="0" w:color="auto"/>
            <w:right w:val="none" w:sz="0" w:space="0" w:color="auto"/>
          </w:divBdr>
        </w:div>
        <w:div w:id="662391938">
          <w:marLeft w:val="0"/>
          <w:marRight w:val="0"/>
          <w:marTop w:val="0"/>
          <w:marBottom w:val="0"/>
          <w:divBdr>
            <w:top w:val="none" w:sz="0" w:space="0" w:color="auto"/>
            <w:left w:val="none" w:sz="0" w:space="0" w:color="auto"/>
            <w:bottom w:val="none" w:sz="0" w:space="0" w:color="auto"/>
            <w:right w:val="none" w:sz="0" w:space="0" w:color="auto"/>
          </w:divBdr>
        </w:div>
        <w:div w:id="667750439">
          <w:marLeft w:val="0"/>
          <w:marRight w:val="0"/>
          <w:marTop w:val="0"/>
          <w:marBottom w:val="0"/>
          <w:divBdr>
            <w:top w:val="none" w:sz="0" w:space="0" w:color="auto"/>
            <w:left w:val="none" w:sz="0" w:space="0" w:color="auto"/>
            <w:bottom w:val="none" w:sz="0" w:space="0" w:color="auto"/>
            <w:right w:val="none" w:sz="0" w:space="0" w:color="auto"/>
          </w:divBdr>
        </w:div>
        <w:div w:id="687830423">
          <w:marLeft w:val="0"/>
          <w:marRight w:val="0"/>
          <w:marTop w:val="0"/>
          <w:marBottom w:val="0"/>
          <w:divBdr>
            <w:top w:val="none" w:sz="0" w:space="0" w:color="auto"/>
            <w:left w:val="none" w:sz="0" w:space="0" w:color="auto"/>
            <w:bottom w:val="none" w:sz="0" w:space="0" w:color="auto"/>
            <w:right w:val="none" w:sz="0" w:space="0" w:color="auto"/>
          </w:divBdr>
        </w:div>
        <w:div w:id="694506484">
          <w:marLeft w:val="0"/>
          <w:marRight w:val="0"/>
          <w:marTop w:val="0"/>
          <w:marBottom w:val="0"/>
          <w:divBdr>
            <w:top w:val="none" w:sz="0" w:space="0" w:color="auto"/>
            <w:left w:val="none" w:sz="0" w:space="0" w:color="auto"/>
            <w:bottom w:val="none" w:sz="0" w:space="0" w:color="auto"/>
            <w:right w:val="none" w:sz="0" w:space="0" w:color="auto"/>
          </w:divBdr>
        </w:div>
        <w:div w:id="707415540">
          <w:marLeft w:val="0"/>
          <w:marRight w:val="0"/>
          <w:marTop w:val="0"/>
          <w:marBottom w:val="0"/>
          <w:divBdr>
            <w:top w:val="none" w:sz="0" w:space="0" w:color="auto"/>
            <w:left w:val="none" w:sz="0" w:space="0" w:color="auto"/>
            <w:bottom w:val="none" w:sz="0" w:space="0" w:color="auto"/>
            <w:right w:val="none" w:sz="0" w:space="0" w:color="auto"/>
          </w:divBdr>
        </w:div>
        <w:div w:id="713307940">
          <w:marLeft w:val="0"/>
          <w:marRight w:val="0"/>
          <w:marTop w:val="0"/>
          <w:marBottom w:val="0"/>
          <w:divBdr>
            <w:top w:val="none" w:sz="0" w:space="0" w:color="auto"/>
            <w:left w:val="none" w:sz="0" w:space="0" w:color="auto"/>
            <w:bottom w:val="none" w:sz="0" w:space="0" w:color="auto"/>
            <w:right w:val="none" w:sz="0" w:space="0" w:color="auto"/>
          </w:divBdr>
        </w:div>
        <w:div w:id="716051003">
          <w:marLeft w:val="0"/>
          <w:marRight w:val="0"/>
          <w:marTop w:val="0"/>
          <w:marBottom w:val="0"/>
          <w:divBdr>
            <w:top w:val="none" w:sz="0" w:space="0" w:color="auto"/>
            <w:left w:val="none" w:sz="0" w:space="0" w:color="auto"/>
            <w:bottom w:val="none" w:sz="0" w:space="0" w:color="auto"/>
            <w:right w:val="none" w:sz="0" w:space="0" w:color="auto"/>
          </w:divBdr>
        </w:div>
        <w:div w:id="719982029">
          <w:marLeft w:val="0"/>
          <w:marRight w:val="0"/>
          <w:marTop w:val="0"/>
          <w:marBottom w:val="0"/>
          <w:divBdr>
            <w:top w:val="none" w:sz="0" w:space="0" w:color="auto"/>
            <w:left w:val="none" w:sz="0" w:space="0" w:color="auto"/>
            <w:bottom w:val="none" w:sz="0" w:space="0" w:color="auto"/>
            <w:right w:val="none" w:sz="0" w:space="0" w:color="auto"/>
          </w:divBdr>
          <w:divsChild>
            <w:div w:id="288784060">
              <w:marLeft w:val="0"/>
              <w:marRight w:val="0"/>
              <w:marTop w:val="0"/>
              <w:marBottom w:val="0"/>
              <w:divBdr>
                <w:top w:val="none" w:sz="0" w:space="0" w:color="auto"/>
                <w:left w:val="none" w:sz="0" w:space="0" w:color="auto"/>
                <w:bottom w:val="none" w:sz="0" w:space="0" w:color="auto"/>
                <w:right w:val="none" w:sz="0" w:space="0" w:color="auto"/>
              </w:divBdr>
            </w:div>
            <w:div w:id="559482471">
              <w:marLeft w:val="0"/>
              <w:marRight w:val="0"/>
              <w:marTop w:val="0"/>
              <w:marBottom w:val="0"/>
              <w:divBdr>
                <w:top w:val="none" w:sz="0" w:space="0" w:color="auto"/>
                <w:left w:val="none" w:sz="0" w:space="0" w:color="auto"/>
                <w:bottom w:val="none" w:sz="0" w:space="0" w:color="auto"/>
                <w:right w:val="none" w:sz="0" w:space="0" w:color="auto"/>
              </w:divBdr>
            </w:div>
            <w:div w:id="797724322">
              <w:marLeft w:val="0"/>
              <w:marRight w:val="0"/>
              <w:marTop w:val="0"/>
              <w:marBottom w:val="0"/>
              <w:divBdr>
                <w:top w:val="none" w:sz="0" w:space="0" w:color="auto"/>
                <w:left w:val="none" w:sz="0" w:space="0" w:color="auto"/>
                <w:bottom w:val="none" w:sz="0" w:space="0" w:color="auto"/>
                <w:right w:val="none" w:sz="0" w:space="0" w:color="auto"/>
              </w:divBdr>
            </w:div>
            <w:div w:id="1468401071">
              <w:marLeft w:val="0"/>
              <w:marRight w:val="0"/>
              <w:marTop w:val="0"/>
              <w:marBottom w:val="0"/>
              <w:divBdr>
                <w:top w:val="none" w:sz="0" w:space="0" w:color="auto"/>
                <w:left w:val="none" w:sz="0" w:space="0" w:color="auto"/>
                <w:bottom w:val="none" w:sz="0" w:space="0" w:color="auto"/>
                <w:right w:val="none" w:sz="0" w:space="0" w:color="auto"/>
              </w:divBdr>
            </w:div>
            <w:div w:id="1552183403">
              <w:marLeft w:val="0"/>
              <w:marRight w:val="0"/>
              <w:marTop w:val="0"/>
              <w:marBottom w:val="0"/>
              <w:divBdr>
                <w:top w:val="none" w:sz="0" w:space="0" w:color="auto"/>
                <w:left w:val="none" w:sz="0" w:space="0" w:color="auto"/>
                <w:bottom w:val="none" w:sz="0" w:space="0" w:color="auto"/>
                <w:right w:val="none" w:sz="0" w:space="0" w:color="auto"/>
              </w:divBdr>
            </w:div>
          </w:divsChild>
        </w:div>
        <w:div w:id="726877923">
          <w:marLeft w:val="0"/>
          <w:marRight w:val="0"/>
          <w:marTop w:val="0"/>
          <w:marBottom w:val="0"/>
          <w:divBdr>
            <w:top w:val="none" w:sz="0" w:space="0" w:color="auto"/>
            <w:left w:val="none" w:sz="0" w:space="0" w:color="auto"/>
            <w:bottom w:val="none" w:sz="0" w:space="0" w:color="auto"/>
            <w:right w:val="none" w:sz="0" w:space="0" w:color="auto"/>
          </w:divBdr>
        </w:div>
        <w:div w:id="739013836">
          <w:marLeft w:val="0"/>
          <w:marRight w:val="0"/>
          <w:marTop w:val="0"/>
          <w:marBottom w:val="0"/>
          <w:divBdr>
            <w:top w:val="none" w:sz="0" w:space="0" w:color="auto"/>
            <w:left w:val="none" w:sz="0" w:space="0" w:color="auto"/>
            <w:bottom w:val="none" w:sz="0" w:space="0" w:color="auto"/>
            <w:right w:val="none" w:sz="0" w:space="0" w:color="auto"/>
          </w:divBdr>
        </w:div>
        <w:div w:id="761995976">
          <w:marLeft w:val="0"/>
          <w:marRight w:val="0"/>
          <w:marTop w:val="0"/>
          <w:marBottom w:val="0"/>
          <w:divBdr>
            <w:top w:val="none" w:sz="0" w:space="0" w:color="auto"/>
            <w:left w:val="none" w:sz="0" w:space="0" w:color="auto"/>
            <w:bottom w:val="none" w:sz="0" w:space="0" w:color="auto"/>
            <w:right w:val="none" w:sz="0" w:space="0" w:color="auto"/>
          </w:divBdr>
        </w:div>
        <w:div w:id="764226254">
          <w:marLeft w:val="0"/>
          <w:marRight w:val="0"/>
          <w:marTop w:val="0"/>
          <w:marBottom w:val="0"/>
          <w:divBdr>
            <w:top w:val="none" w:sz="0" w:space="0" w:color="auto"/>
            <w:left w:val="none" w:sz="0" w:space="0" w:color="auto"/>
            <w:bottom w:val="none" w:sz="0" w:space="0" w:color="auto"/>
            <w:right w:val="none" w:sz="0" w:space="0" w:color="auto"/>
          </w:divBdr>
          <w:divsChild>
            <w:div w:id="993951490">
              <w:marLeft w:val="0"/>
              <w:marRight w:val="0"/>
              <w:marTop w:val="0"/>
              <w:marBottom w:val="0"/>
              <w:divBdr>
                <w:top w:val="none" w:sz="0" w:space="0" w:color="auto"/>
                <w:left w:val="none" w:sz="0" w:space="0" w:color="auto"/>
                <w:bottom w:val="none" w:sz="0" w:space="0" w:color="auto"/>
                <w:right w:val="none" w:sz="0" w:space="0" w:color="auto"/>
              </w:divBdr>
            </w:div>
          </w:divsChild>
        </w:div>
        <w:div w:id="779883605">
          <w:marLeft w:val="0"/>
          <w:marRight w:val="0"/>
          <w:marTop w:val="0"/>
          <w:marBottom w:val="0"/>
          <w:divBdr>
            <w:top w:val="none" w:sz="0" w:space="0" w:color="auto"/>
            <w:left w:val="none" w:sz="0" w:space="0" w:color="auto"/>
            <w:bottom w:val="none" w:sz="0" w:space="0" w:color="auto"/>
            <w:right w:val="none" w:sz="0" w:space="0" w:color="auto"/>
          </w:divBdr>
        </w:div>
        <w:div w:id="815072176">
          <w:marLeft w:val="0"/>
          <w:marRight w:val="0"/>
          <w:marTop w:val="0"/>
          <w:marBottom w:val="0"/>
          <w:divBdr>
            <w:top w:val="none" w:sz="0" w:space="0" w:color="auto"/>
            <w:left w:val="none" w:sz="0" w:space="0" w:color="auto"/>
            <w:bottom w:val="none" w:sz="0" w:space="0" w:color="auto"/>
            <w:right w:val="none" w:sz="0" w:space="0" w:color="auto"/>
          </w:divBdr>
        </w:div>
        <w:div w:id="843398735">
          <w:marLeft w:val="0"/>
          <w:marRight w:val="0"/>
          <w:marTop w:val="0"/>
          <w:marBottom w:val="0"/>
          <w:divBdr>
            <w:top w:val="none" w:sz="0" w:space="0" w:color="auto"/>
            <w:left w:val="none" w:sz="0" w:space="0" w:color="auto"/>
            <w:bottom w:val="none" w:sz="0" w:space="0" w:color="auto"/>
            <w:right w:val="none" w:sz="0" w:space="0" w:color="auto"/>
          </w:divBdr>
        </w:div>
        <w:div w:id="881789648">
          <w:marLeft w:val="0"/>
          <w:marRight w:val="0"/>
          <w:marTop w:val="0"/>
          <w:marBottom w:val="0"/>
          <w:divBdr>
            <w:top w:val="none" w:sz="0" w:space="0" w:color="auto"/>
            <w:left w:val="none" w:sz="0" w:space="0" w:color="auto"/>
            <w:bottom w:val="none" w:sz="0" w:space="0" w:color="auto"/>
            <w:right w:val="none" w:sz="0" w:space="0" w:color="auto"/>
          </w:divBdr>
        </w:div>
        <w:div w:id="918296557">
          <w:marLeft w:val="0"/>
          <w:marRight w:val="0"/>
          <w:marTop w:val="0"/>
          <w:marBottom w:val="0"/>
          <w:divBdr>
            <w:top w:val="none" w:sz="0" w:space="0" w:color="auto"/>
            <w:left w:val="none" w:sz="0" w:space="0" w:color="auto"/>
            <w:bottom w:val="none" w:sz="0" w:space="0" w:color="auto"/>
            <w:right w:val="none" w:sz="0" w:space="0" w:color="auto"/>
          </w:divBdr>
        </w:div>
        <w:div w:id="937179316">
          <w:marLeft w:val="0"/>
          <w:marRight w:val="0"/>
          <w:marTop w:val="0"/>
          <w:marBottom w:val="0"/>
          <w:divBdr>
            <w:top w:val="none" w:sz="0" w:space="0" w:color="auto"/>
            <w:left w:val="none" w:sz="0" w:space="0" w:color="auto"/>
            <w:bottom w:val="none" w:sz="0" w:space="0" w:color="auto"/>
            <w:right w:val="none" w:sz="0" w:space="0" w:color="auto"/>
          </w:divBdr>
        </w:div>
        <w:div w:id="937521854">
          <w:marLeft w:val="0"/>
          <w:marRight w:val="0"/>
          <w:marTop w:val="0"/>
          <w:marBottom w:val="0"/>
          <w:divBdr>
            <w:top w:val="none" w:sz="0" w:space="0" w:color="auto"/>
            <w:left w:val="none" w:sz="0" w:space="0" w:color="auto"/>
            <w:bottom w:val="none" w:sz="0" w:space="0" w:color="auto"/>
            <w:right w:val="none" w:sz="0" w:space="0" w:color="auto"/>
          </w:divBdr>
        </w:div>
        <w:div w:id="937756398">
          <w:marLeft w:val="0"/>
          <w:marRight w:val="0"/>
          <w:marTop w:val="0"/>
          <w:marBottom w:val="0"/>
          <w:divBdr>
            <w:top w:val="none" w:sz="0" w:space="0" w:color="auto"/>
            <w:left w:val="none" w:sz="0" w:space="0" w:color="auto"/>
            <w:bottom w:val="none" w:sz="0" w:space="0" w:color="auto"/>
            <w:right w:val="none" w:sz="0" w:space="0" w:color="auto"/>
          </w:divBdr>
        </w:div>
        <w:div w:id="969867733">
          <w:marLeft w:val="0"/>
          <w:marRight w:val="0"/>
          <w:marTop w:val="0"/>
          <w:marBottom w:val="0"/>
          <w:divBdr>
            <w:top w:val="none" w:sz="0" w:space="0" w:color="auto"/>
            <w:left w:val="none" w:sz="0" w:space="0" w:color="auto"/>
            <w:bottom w:val="none" w:sz="0" w:space="0" w:color="auto"/>
            <w:right w:val="none" w:sz="0" w:space="0" w:color="auto"/>
          </w:divBdr>
          <w:divsChild>
            <w:div w:id="32266206">
              <w:marLeft w:val="0"/>
              <w:marRight w:val="0"/>
              <w:marTop w:val="0"/>
              <w:marBottom w:val="0"/>
              <w:divBdr>
                <w:top w:val="none" w:sz="0" w:space="0" w:color="auto"/>
                <w:left w:val="none" w:sz="0" w:space="0" w:color="auto"/>
                <w:bottom w:val="none" w:sz="0" w:space="0" w:color="auto"/>
                <w:right w:val="none" w:sz="0" w:space="0" w:color="auto"/>
              </w:divBdr>
            </w:div>
            <w:div w:id="53895873">
              <w:marLeft w:val="0"/>
              <w:marRight w:val="0"/>
              <w:marTop w:val="0"/>
              <w:marBottom w:val="0"/>
              <w:divBdr>
                <w:top w:val="none" w:sz="0" w:space="0" w:color="auto"/>
                <w:left w:val="none" w:sz="0" w:space="0" w:color="auto"/>
                <w:bottom w:val="none" w:sz="0" w:space="0" w:color="auto"/>
                <w:right w:val="none" w:sz="0" w:space="0" w:color="auto"/>
              </w:divBdr>
            </w:div>
            <w:div w:id="1019232604">
              <w:marLeft w:val="0"/>
              <w:marRight w:val="0"/>
              <w:marTop w:val="0"/>
              <w:marBottom w:val="0"/>
              <w:divBdr>
                <w:top w:val="none" w:sz="0" w:space="0" w:color="auto"/>
                <w:left w:val="none" w:sz="0" w:space="0" w:color="auto"/>
                <w:bottom w:val="none" w:sz="0" w:space="0" w:color="auto"/>
                <w:right w:val="none" w:sz="0" w:space="0" w:color="auto"/>
              </w:divBdr>
            </w:div>
            <w:div w:id="1171213909">
              <w:marLeft w:val="0"/>
              <w:marRight w:val="0"/>
              <w:marTop w:val="0"/>
              <w:marBottom w:val="0"/>
              <w:divBdr>
                <w:top w:val="none" w:sz="0" w:space="0" w:color="auto"/>
                <w:left w:val="none" w:sz="0" w:space="0" w:color="auto"/>
                <w:bottom w:val="none" w:sz="0" w:space="0" w:color="auto"/>
                <w:right w:val="none" w:sz="0" w:space="0" w:color="auto"/>
              </w:divBdr>
            </w:div>
          </w:divsChild>
        </w:div>
        <w:div w:id="977146220">
          <w:marLeft w:val="0"/>
          <w:marRight w:val="0"/>
          <w:marTop w:val="0"/>
          <w:marBottom w:val="0"/>
          <w:divBdr>
            <w:top w:val="none" w:sz="0" w:space="0" w:color="auto"/>
            <w:left w:val="none" w:sz="0" w:space="0" w:color="auto"/>
            <w:bottom w:val="none" w:sz="0" w:space="0" w:color="auto"/>
            <w:right w:val="none" w:sz="0" w:space="0" w:color="auto"/>
          </w:divBdr>
        </w:div>
        <w:div w:id="979268404">
          <w:marLeft w:val="0"/>
          <w:marRight w:val="0"/>
          <w:marTop w:val="0"/>
          <w:marBottom w:val="0"/>
          <w:divBdr>
            <w:top w:val="none" w:sz="0" w:space="0" w:color="auto"/>
            <w:left w:val="none" w:sz="0" w:space="0" w:color="auto"/>
            <w:bottom w:val="none" w:sz="0" w:space="0" w:color="auto"/>
            <w:right w:val="none" w:sz="0" w:space="0" w:color="auto"/>
          </w:divBdr>
        </w:div>
        <w:div w:id="982152490">
          <w:marLeft w:val="0"/>
          <w:marRight w:val="0"/>
          <w:marTop w:val="0"/>
          <w:marBottom w:val="0"/>
          <w:divBdr>
            <w:top w:val="none" w:sz="0" w:space="0" w:color="auto"/>
            <w:left w:val="none" w:sz="0" w:space="0" w:color="auto"/>
            <w:bottom w:val="none" w:sz="0" w:space="0" w:color="auto"/>
            <w:right w:val="none" w:sz="0" w:space="0" w:color="auto"/>
          </w:divBdr>
          <w:divsChild>
            <w:div w:id="642319822">
              <w:marLeft w:val="0"/>
              <w:marRight w:val="0"/>
              <w:marTop w:val="0"/>
              <w:marBottom w:val="0"/>
              <w:divBdr>
                <w:top w:val="none" w:sz="0" w:space="0" w:color="auto"/>
                <w:left w:val="none" w:sz="0" w:space="0" w:color="auto"/>
                <w:bottom w:val="none" w:sz="0" w:space="0" w:color="auto"/>
                <w:right w:val="none" w:sz="0" w:space="0" w:color="auto"/>
              </w:divBdr>
            </w:div>
            <w:div w:id="1652296542">
              <w:marLeft w:val="0"/>
              <w:marRight w:val="0"/>
              <w:marTop w:val="0"/>
              <w:marBottom w:val="0"/>
              <w:divBdr>
                <w:top w:val="none" w:sz="0" w:space="0" w:color="auto"/>
                <w:left w:val="none" w:sz="0" w:space="0" w:color="auto"/>
                <w:bottom w:val="none" w:sz="0" w:space="0" w:color="auto"/>
                <w:right w:val="none" w:sz="0" w:space="0" w:color="auto"/>
              </w:divBdr>
            </w:div>
          </w:divsChild>
        </w:div>
        <w:div w:id="1004674475">
          <w:marLeft w:val="0"/>
          <w:marRight w:val="0"/>
          <w:marTop w:val="0"/>
          <w:marBottom w:val="0"/>
          <w:divBdr>
            <w:top w:val="none" w:sz="0" w:space="0" w:color="auto"/>
            <w:left w:val="none" w:sz="0" w:space="0" w:color="auto"/>
            <w:bottom w:val="none" w:sz="0" w:space="0" w:color="auto"/>
            <w:right w:val="none" w:sz="0" w:space="0" w:color="auto"/>
          </w:divBdr>
        </w:div>
        <w:div w:id="1027489041">
          <w:marLeft w:val="0"/>
          <w:marRight w:val="0"/>
          <w:marTop w:val="0"/>
          <w:marBottom w:val="0"/>
          <w:divBdr>
            <w:top w:val="none" w:sz="0" w:space="0" w:color="auto"/>
            <w:left w:val="none" w:sz="0" w:space="0" w:color="auto"/>
            <w:bottom w:val="none" w:sz="0" w:space="0" w:color="auto"/>
            <w:right w:val="none" w:sz="0" w:space="0" w:color="auto"/>
          </w:divBdr>
        </w:div>
        <w:div w:id="1050493618">
          <w:marLeft w:val="0"/>
          <w:marRight w:val="0"/>
          <w:marTop w:val="0"/>
          <w:marBottom w:val="0"/>
          <w:divBdr>
            <w:top w:val="none" w:sz="0" w:space="0" w:color="auto"/>
            <w:left w:val="none" w:sz="0" w:space="0" w:color="auto"/>
            <w:bottom w:val="none" w:sz="0" w:space="0" w:color="auto"/>
            <w:right w:val="none" w:sz="0" w:space="0" w:color="auto"/>
          </w:divBdr>
        </w:div>
        <w:div w:id="1056321645">
          <w:marLeft w:val="0"/>
          <w:marRight w:val="0"/>
          <w:marTop w:val="0"/>
          <w:marBottom w:val="0"/>
          <w:divBdr>
            <w:top w:val="none" w:sz="0" w:space="0" w:color="auto"/>
            <w:left w:val="none" w:sz="0" w:space="0" w:color="auto"/>
            <w:bottom w:val="none" w:sz="0" w:space="0" w:color="auto"/>
            <w:right w:val="none" w:sz="0" w:space="0" w:color="auto"/>
          </w:divBdr>
        </w:div>
        <w:div w:id="1059089878">
          <w:marLeft w:val="0"/>
          <w:marRight w:val="0"/>
          <w:marTop w:val="0"/>
          <w:marBottom w:val="0"/>
          <w:divBdr>
            <w:top w:val="none" w:sz="0" w:space="0" w:color="auto"/>
            <w:left w:val="none" w:sz="0" w:space="0" w:color="auto"/>
            <w:bottom w:val="none" w:sz="0" w:space="0" w:color="auto"/>
            <w:right w:val="none" w:sz="0" w:space="0" w:color="auto"/>
          </w:divBdr>
        </w:div>
        <w:div w:id="1061291241">
          <w:marLeft w:val="0"/>
          <w:marRight w:val="0"/>
          <w:marTop w:val="0"/>
          <w:marBottom w:val="0"/>
          <w:divBdr>
            <w:top w:val="none" w:sz="0" w:space="0" w:color="auto"/>
            <w:left w:val="none" w:sz="0" w:space="0" w:color="auto"/>
            <w:bottom w:val="none" w:sz="0" w:space="0" w:color="auto"/>
            <w:right w:val="none" w:sz="0" w:space="0" w:color="auto"/>
          </w:divBdr>
        </w:div>
        <w:div w:id="1161461531">
          <w:marLeft w:val="0"/>
          <w:marRight w:val="0"/>
          <w:marTop w:val="0"/>
          <w:marBottom w:val="0"/>
          <w:divBdr>
            <w:top w:val="none" w:sz="0" w:space="0" w:color="auto"/>
            <w:left w:val="none" w:sz="0" w:space="0" w:color="auto"/>
            <w:bottom w:val="none" w:sz="0" w:space="0" w:color="auto"/>
            <w:right w:val="none" w:sz="0" w:space="0" w:color="auto"/>
          </w:divBdr>
        </w:div>
        <w:div w:id="1167095391">
          <w:marLeft w:val="0"/>
          <w:marRight w:val="0"/>
          <w:marTop w:val="0"/>
          <w:marBottom w:val="0"/>
          <w:divBdr>
            <w:top w:val="none" w:sz="0" w:space="0" w:color="auto"/>
            <w:left w:val="none" w:sz="0" w:space="0" w:color="auto"/>
            <w:bottom w:val="none" w:sz="0" w:space="0" w:color="auto"/>
            <w:right w:val="none" w:sz="0" w:space="0" w:color="auto"/>
          </w:divBdr>
          <w:divsChild>
            <w:div w:id="81339576">
              <w:marLeft w:val="0"/>
              <w:marRight w:val="0"/>
              <w:marTop w:val="0"/>
              <w:marBottom w:val="0"/>
              <w:divBdr>
                <w:top w:val="none" w:sz="0" w:space="0" w:color="auto"/>
                <w:left w:val="none" w:sz="0" w:space="0" w:color="auto"/>
                <w:bottom w:val="none" w:sz="0" w:space="0" w:color="auto"/>
                <w:right w:val="none" w:sz="0" w:space="0" w:color="auto"/>
              </w:divBdr>
            </w:div>
            <w:div w:id="277417132">
              <w:marLeft w:val="0"/>
              <w:marRight w:val="0"/>
              <w:marTop w:val="0"/>
              <w:marBottom w:val="0"/>
              <w:divBdr>
                <w:top w:val="none" w:sz="0" w:space="0" w:color="auto"/>
                <w:left w:val="none" w:sz="0" w:space="0" w:color="auto"/>
                <w:bottom w:val="none" w:sz="0" w:space="0" w:color="auto"/>
                <w:right w:val="none" w:sz="0" w:space="0" w:color="auto"/>
              </w:divBdr>
            </w:div>
            <w:div w:id="942151402">
              <w:marLeft w:val="0"/>
              <w:marRight w:val="0"/>
              <w:marTop w:val="0"/>
              <w:marBottom w:val="0"/>
              <w:divBdr>
                <w:top w:val="none" w:sz="0" w:space="0" w:color="auto"/>
                <w:left w:val="none" w:sz="0" w:space="0" w:color="auto"/>
                <w:bottom w:val="none" w:sz="0" w:space="0" w:color="auto"/>
                <w:right w:val="none" w:sz="0" w:space="0" w:color="auto"/>
              </w:divBdr>
            </w:div>
            <w:div w:id="1018313369">
              <w:marLeft w:val="0"/>
              <w:marRight w:val="0"/>
              <w:marTop w:val="0"/>
              <w:marBottom w:val="0"/>
              <w:divBdr>
                <w:top w:val="none" w:sz="0" w:space="0" w:color="auto"/>
                <w:left w:val="none" w:sz="0" w:space="0" w:color="auto"/>
                <w:bottom w:val="none" w:sz="0" w:space="0" w:color="auto"/>
                <w:right w:val="none" w:sz="0" w:space="0" w:color="auto"/>
              </w:divBdr>
            </w:div>
          </w:divsChild>
        </w:div>
        <w:div w:id="1177841580">
          <w:marLeft w:val="0"/>
          <w:marRight w:val="0"/>
          <w:marTop w:val="0"/>
          <w:marBottom w:val="0"/>
          <w:divBdr>
            <w:top w:val="none" w:sz="0" w:space="0" w:color="auto"/>
            <w:left w:val="none" w:sz="0" w:space="0" w:color="auto"/>
            <w:bottom w:val="none" w:sz="0" w:space="0" w:color="auto"/>
            <w:right w:val="none" w:sz="0" w:space="0" w:color="auto"/>
          </w:divBdr>
          <w:divsChild>
            <w:div w:id="252860634">
              <w:marLeft w:val="0"/>
              <w:marRight w:val="0"/>
              <w:marTop w:val="0"/>
              <w:marBottom w:val="0"/>
              <w:divBdr>
                <w:top w:val="none" w:sz="0" w:space="0" w:color="auto"/>
                <w:left w:val="none" w:sz="0" w:space="0" w:color="auto"/>
                <w:bottom w:val="none" w:sz="0" w:space="0" w:color="auto"/>
                <w:right w:val="none" w:sz="0" w:space="0" w:color="auto"/>
              </w:divBdr>
            </w:div>
            <w:div w:id="764107330">
              <w:marLeft w:val="0"/>
              <w:marRight w:val="0"/>
              <w:marTop w:val="0"/>
              <w:marBottom w:val="0"/>
              <w:divBdr>
                <w:top w:val="none" w:sz="0" w:space="0" w:color="auto"/>
                <w:left w:val="none" w:sz="0" w:space="0" w:color="auto"/>
                <w:bottom w:val="none" w:sz="0" w:space="0" w:color="auto"/>
                <w:right w:val="none" w:sz="0" w:space="0" w:color="auto"/>
              </w:divBdr>
            </w:div>
            <w:div w:id="2009138150">
              <w:marLeft w:val="0"/>
              <w:marRight w:val="0"/>
              <w:marTop w:val="0"/>
              <w:marBottom w:val="0"/>
              <w:divBdr>
                <w:top w:val="none" w:sz="0" w:space="0" w:color="auto"/>
                <w:left w:val="none" w:sz="0" w:space="0" w:color="auto"/>
                <w:bottom w:val="none" w:sz="0" w:space="0" w:color="auto"/>
                <w:right w:val="none" w:sz="0" w:space="0" w:color="auto"/>
              </w:divBdr>
            </w:div>
          </w:divsChild>
        </w:div>
        <w:div w:id="1178808433">
          <w:marLeft w:val="0"/>
          <w:marRight w:val="0"/>
          <w:marTop w:val="0"/>
          <w:marBottom w:val="0"/>
          <w:divBdr>
            <w:top w:val="none" w:sz="0" w:space="0" w:color="auto"/>
            <w:left w:val="none" w:sz="0" w:space="0" w:color="auto"/>
            <w:bottom w:val="none" w:sz="0" w:space="0" w:color="auto"/>
            <w:right w:val="none" w:sz="0" w:space="0" w:color="auto"/>
          </w:divBdr>
        </w:div>
        <w:div w:id="1181893745">
          <w:marLeft w:val="0"/>
          <w:marRight w:val="0"/>
          <w:marTop w:val="0"/>
          <w:marBottom w:val="0"/>
          <w:divBdr>
            <w:top w:val="none" w:sz="0" w:space="0" w:color="auto"/>
            <w:left w:val="none" w:sz="0" w:space="0" w:color="auto"/>
            <w:bottom w:val="none" w:sz="0" w:space="0" w:color="auto"/>
            <w:right w:val="none" w:sz="0" w:space="0" w:color="auto"/>
          </w:divBdr>
        </w:div>
        <w:div w:id="1202598125">
          <w:marLeft w:val="0"/>
          <w:marRight w:val="0"/>
          <w:marTop w:val="0"/>
          <w:marBottom w:val="0"/>
          <w:divBdr>
            <w:top w:val="none" w:sz="0" w:space="0" w:color="auto"/>
            <w:left w:val="none" w:sz="0" w:space="0" w:color="auto"/>
            <w:bottom w:val="none" w:sz="0" w:space="0" w:color="auto"/>
            <w:right w:val="none" w:sz="0" w:space="0" w:color="auto"/>
          </w:divBdr>
        </w:div>
        <w:div w:id="1225751556">
          <w:marLeft w:val="0"/>
          <w:marRight w:val="0"/>
          <w:marTop w:val="0"/>
          <w:marBottom w:val="0"/>
          <w:divBdr>
            <w:top w:val="none" w:sz="0" w:space="0" w:color="auto"/>
            <w:left w:val="none" w:sz="0" w:space="0" w:color="auto"/>
            <w:bottom w:val="none" w:sz="0" w:space="0" w:color="auto"/>
            <w:right w:val="none" w:sz="0" w:space="0" w:color="auto"/>
          </w:divBdr>
        </w:div>
        <w:div w:id="1243031690">
          <w:marLeft w:val="0"/>
          <w:marRight w:val="0"/>
          <w:marTop w:val="0"/>
          <w:marBottom w:val="0"/>
          <w:divBdr>
            <w:top w:val="none" w:sz="0" w:space="0" w:color="auto"/>
            <w:left w:val="none" w:sz="0" w:space="0" w:color="auto"/>
            <w:bottom w:val="none" w:sz="0" w:space="0" w:color="auto"/>
            <w:right w:val="none" w:sz="0" w:space="0" w:color="auto"/>
          </w:divBdr>
        </w:div>
        <w:div w:id="1257134652">
          <w:marLeft w:val="0"/>
          <w:marRight w:val="0"/>
          <w:marTop w:val="0"/>
          <w:marBottom w:val="0"/>
          <w:divBdr>
            <w:top w:val="none" w:sz="0" w:space="0" w:color="auto"/>
            <w:left w:val="none" w:sz="0" w:space="0" w:color="auto"/>
            <w:bottom w:val="none" w:sz="0" w:space="0" w:color="auto"/>
            <w:right w:val="none" w:sz="0" w:space="0" w:color="auto"/>
          </w:divBdr>
        </w:div>
        <w:div w:id="1267075169">
          <w:marLeft w:val="0"/>
          <w:marRight w:val="0"/>
          <w:marTop w:val="0"/>
          <w:marBottom w:val="0"/>
          <w:divBdr>
            <w:top w:val="none" w:sz="0" w:space="0" w:color="auto"/>
            <w:left w:val="none" w:sz="0" w:space="0" w:color="auto"/>
            <w:bottom w:val="none" w:sz="0" w:space="0" w:color="auto"/>
            <w:right w:val="none" w:sz="0" w:space="0" w:color="auto"/>
          </w:divBdr>
        </w:div>
        <w:div w:id="1267538913">
          <w:marLeft w:val="0"/>
          <w:marRight w:val="0"/>
          <w:marTop w:val="0"/>
          <w:marBottom w:val="0"/>
          <w:divBdr>
            <w:top w:val="none" w:sz="0" w:space="0" w:color="auto"/>
            <w:left w:val="none" w:sz="0" w:space="0" w:color="auto"/>
            <w:bottom w:val="none" w:sz="0" w:space="0" w:color="auto"/>
            <w:right w:val="none" w:sz="0" w:space="0" w:color="auto"/>
          </w:divBdr>
        </w:div>
        <w:div w:id="1275791751">
          <w:marLeft w:val="0"/>
          <w:marRight w:val="0"/>
          <w:marTop w:val="0"/>
          <w:marBottom w:val="0"/>
          <w:divBdr>
            <w:top w:val="none" w:sz="0" w:space="0" w:color="auto"/>
            <w:left w:val="none" w:sz="0" w:space="0" w:color="auto"/>
            <w:bottom w:val="none" w:sz="0" w:space="0" w:color="auto"/>
            <w:right w:val="none" w:sz="0" w:space="0" w:color="auto"/>
          </w:divBdr>
        </w:div>
        <w:div w:id="1299458186">
          <w:marLeft w:val="0"/>
          <w:marRight w:val="0"/>
          <w:marTop w:val="0"/>
          <w:marBottom w:val="0"/>
          <w:divBdr>
            <w:top w:val="none" w:sz="0" w:space="0" w:color="auto"/>
            <w:left w:val="none" w:sz="0" w:space="0" w:color="auto"/>
            <w:bottom w:val="none" w:sz="0" w:space="0" w:color="auto"/>
            <w:right w:val="none" w:sz="0" w:space="0" w:color="auto"/>
          </w:divBdr>
        </w:div>
        <w:div w:id="1305893755">
          <w:marLeft w:val="0"/>
          <w:marRight w:val="0"/>
          <w:marTop w:val="0"/>
          <w:marBottom w:val="0"/>
          <w:divBdr>
            <w:top w:val="none" w:sz="0" w:space="0" w:color="auto"/>
            <w:left w:val="none" w:sz="0" w:space="0" w:color="auto"/>
            <w:bottom w:val="none" w:sz="0" w:space="0" w:color="auto"/>
            <w:right w:val="none" w:sz="0" w:space="0" w:color="auto"/>
          </w:divBdr>
        </w:div>
        <w:div w:id="1315573354">
          <w:marLeft w:val="0"/>
          <w:marRight w:val="0"/>
          <w:marTop w:val="0"/>
          <w:marBottom w:val="0"/>
          <w:divBdr>
            <w:top w:val="none" w:sz="0" w:space="0" w:color="auto"/>
            <w:left w:val="none" w:sz="0" w:space="0" w:color="auto"/>
            <w:bottom w:val="none" w:sz="0" w:space="0" w:color="auto"/>
            <w:right w:val="none" w:sz="0" w:space="0" w:color="auto"/>
          </w:divBdr>
        </w:div>
        <w:div w:id="1354064884">
          <w:marLeft w:val="0"/>
          <w:marRight w:val="0"/>
          <w:marTop w:val="0"/>
          <w:marBottom w:val="0"/>
          <w:divBdr>
            <w:top w:val="none" w:sz="0" w:space="0" w:color="auto"/>
            <w:left w:val="none" w:sz="0" w:space="0" w:color="auto"/>
            <w:bottom w:val="none" w:sz="0" w:space="0" w:color="auto"/>
            <w:right w:val="none" w:sz="0" w:space="0" w:color="auto"/>
          </w:divBdr>
        </w:div>
        <w:div w:id="1367439427">
          <w:marLeft w:val="0"/>
          <w:marRight w:val="0"/>
          <w:marTop w:val="0"/>
          <w:marBottom w:val="0"/>
          <w:divBdr>
            <w:top w:val="none" w:sz="0" w:space="0" w:color="auto"/>
            <w:left w:val="none" w:sz="0" w:space="0" w:color="auto"/>
            <w:bottom w:val="none" w:sz="0" w:space="0" w:color="auto"/>
            <w:right w:val="none" w:sz="0" w:space="0" w:color="auto"/>
          </w:divBdr>
          <w:divsChild>
            <w:div w:id="118032126">
              <w:marLeft w:val="0"/>
              <w:marRight w:val="0"/>
              <w:marTop w:val="0"/>
              <w:marBottom w:val="0"/>
              <w:divBdr>
                <w:top w:val="none" w:sz="0" w:space="0" w:color="auto"/>
                <w:left w:val="none" w:sz="0" w:space="0" w:color="auto"/>
                <w:bottom w:val="none" w:sz="0" w:space="0" w:color="auto"/>
                <w:right w:val="none" w:sz="0" w:space="0" w:color="auto"/>
              </w:divBdr>
            </w:div>
            <w:div w:id="722022958">
              <w:marLeft w:val="0"/>
              <w:marRight w:val="0"/>
              <w:marTop w:val="0"/>
              <w:marBottom w:val="0"/>
              <w:divBdr>
                <w:top w:val="none" w:sz="0" w:space="0" w:color="auto"/>
                <w:left w:val="none" w:sz="0" w:space="0" w:color="auto"/>
                <w:bottom w:val="none" w:sz="0" w:space="0" w:color="auto"/>
                <w:right w:val="none" w:sz="0" w:space="0" w:color="auto"/>
              </w:divBdr>
            </w:div>
            <w:div w:id="1013606548">
              <w:marLeft w:val="0"/>
              <w:marRight w:val="0"/>
              <w:marTop w:val="0"/>
              <w:marBottom w:val="0"/>
              <w:divBdr>
                <w:top w:val="none" w:sz="0" w:space="0" w:color="auto"/>
                <w:left w:val="none" w:sz="0" w:space="0" w:color="auto"/>
                <w:bottom w:val="none" w:sz="0" w:space="0" w:color="auto"/>
                <w:right w:val="none" w:sz="0" w:space="0" w:color="auto"/>
              </w:divBdr>
            </w:div>
            <w:div w:id="1267691955">
              <w:marLeft w:val="0"/>
              <w:marRight w:val="0"/>
              <w:marTop w:val="0"/>
              <w:marBottom w:val="0"/>
              <w:divBdr>
                <w:top w:val="none" w:sz="0" w:space="0" w:color="auto"/>
                <w:left w:val="none" w:sz="0" w:space="0" w:color="auto"/>
                <w:bottom w:val="none" w:sz="0" w:space="0" w:color="auto"/>
                <w:right w:val="none" w:sz="0" w:space="0" w:color="auto"/>
              </w:divBdr>
            </w:div>
            <w:div w:id="2030833410">
              <w:marLeft w:val="0"/>
              <w:marRight w:val="0"/>
              <w:marTop w:val="0"/>
              <w:marBottom w:val="0"/>
              <w:divBdr>
                <w:top w:val="none" w:sz="0" w:space="0" w:color="auto"/>
                <w:left w:val="none" w:sz="0" w:space="0" w:color="auto"/>
                <w:bottom w:val="none" w:sz="0" w:space="0" w:color="auto"/>
                <w:right w:val="none" w:sz="0" w:space="0" w:color="auto"/>
              </w:divBdr>
            </w:div>
          </w:divsChild>
        </w:div>
        <w:div w:id="1374189810">
          <w:marLeft w:val="0"/>
          <w:marRight w:val="0"/>
          <w:marTop w:val="0"/>
          <w:marBottom w:val="0"/>
          <w:divBdr>
            <w:top w:val="none" w:sz="0" w:space="0" w:color="auto"/>
            <w:left w:val="none" w:sz="0" w:space="0" w:color="auto"/>
            <w:bottom w:val="none" w:sz="0" w:space="0" w:color="auto"/>
            <w:right w:val="none" w:sz="0" w:space="0" w:color="auto"/>
          </w:divBdr>
          <w:divsChild>
            <w:div w:id="916984087">
              <w:marLeft w:val="0"/>
              <w:marRight w:val="0"/>
              <w:marTop w:val="0"/>
              <w:marBottom w:val="0"/>
              <w:divBdr>
                <w:top w:val="none" w:sz="0" w:space="0" w:color="auto"/>
                <w:left w:val="none" w:sz="0" w:space="0" w:color="auto"/>
                <w:bottom w:val="none" w:sz="0" w:space="0" w:color="auto"/>
                <w:right w:val="none" w:sz="0" w:space="0" w:color="auto"/>
              </w:divBdr>
            </w:div>
            <w:div w:id="938948377">
              <w:marLeft w:val="0"/>
              <w:marRight w:val="0"/>
              <w:marTop w:val="0"/>
              <w:marBottom w:val="0"/>
              <w:divBdr>
                <w:top w:val="none" w:sz="0" w:space="0" w:color="auto"/>
                <w:left w:val="none" w:sz="0" w:space="0" w:color="auto"/>
                <w:bottom w:val="none" w:sz="0" w:space="0" w:color="auto"/>
                <w:right w:val="none" w:sz="0" w:space="0" w:color="auto"/>
              </w:divBdr>
            </w:div>
          </w:divsChild>
        </w:div>
        <w:div w:id="1379549257">
          <w:marLeft w:val="0"/>
          <w:marRight w:val="0"/>
          <w:marTop w:val="0"/>
          <w:marBottom w:val="0"/>
          <w:divBdr>
            <w:top w:val="none" w:sz="0" w:space="0" w:color="auto"/>
            <w:left w:val="none" w:sz="0" w:space="0" w:color="auto"/>
            <w:bottom w:val="none" w:sz="0" w:space="0" w:color="auto"/>
            <w:right w:val="none" w:sz="0" w:space="0" w:color="auto"/>
          </w:divBdr>
        </w:div>
        <w:div w:id="1397163856">
          <w:marLeft w:val="0"/>
          <w:marRight w:val="0"/>
          <w:marTop w:val="0"/>
          <w:marBottom w:val="0"/>
          <w:divBdr>
            <w:top w:val="none" w:sz="0" w:space="0" w:color="auto"/>
            <w:left w:val="none" w:sz="0" w:space="0" w:color="auto"/>
            <w:bottom w:val="none" w:sz="0" w:space="0" w:color="auto"/>
            <w:right w:val="none" w:sz="0" w:space="0" w:color="auto"/>
          </w:divBdr>
        </w:div>
        <w:div w:id="1406955842">
          <w:marLeft w:val="0"/>
          <w:marRight w:val="0"/>
          <w:marTop w:val="0"/>
          <w:marBottom w:val="0"/>
          <w:divBdr>
            <w:top w:val="none" w:sz="0" w:space="0" w:color="auto"/>
            <w:left w:val="none" w:sz="0" w:space="0" w:color="auto"/>
            <w:bottom w:val="none" w:sz="0" w:space="0" w:color="auto"/>
            <w:right w:val="none" w:sz="0" w:space="0" w:color="auto"/>
          </w:divBdr>
        </w:div>
        <w:div w:id="1409381380">
          <w:marLeft w:val="0"/>
          <w:marRight w:val="0"/>
          <w:marTop w:val="0"/>
          <w:marBottom w:val="0"/>
          <w:divBdr>
            <w:top w:val="none" w:sz="0" w:space="0" w:color="auto"/>
            <w:left w:val="none" w:sz="0" w:space="0" w:color="auto"/>
            <w:bottom w:val="none" w:sz="0" w:space="0" w:color="auto"/>
            <w:right w:val="none" w:sz="0" w:space="0" w:color="auto"/>
          </w:divBdr>
        </w:div>
        <w:div w:id="1421677321">
          <w:marLeft w:val="0"/>
          <w:marRight w:val="0"/>
          <w:marTop w:val="0"/>
          <w:marBottom w:val="0"/>
          <w:divBdr>
            <w:top w:val="none" w:sz="0" w:space="0" w:color="auto"/>
            <w:left w:val="none" w:sz="0" w:space="0" w:color="auto"/>
            <w:bottom w:val="none" w:sz="0" w:space="0" w:color="auto"/>
            <w:right w:val="none" w:sz="0" w:space="0" w:color="auto"/>
          </w:divBdr>
        </w:div>
        <w:div w:id="1424572083">
          <w:marLeft w:val="0"/>
          <w:marRight w:val="0"/>
          <w:marTop w:val="0"/>
          <w:marBottom w:val="0"/>
          <w:divBdr>
            <w:top w:val="none" w:sz="0" w:space="0" w:color="auto"/>
            <w:left w:val="none" w:sz="0" w:space="0" w:color="auto"/>
            <w:bottom w:val="none" w:sz="0" w:space="0" w:color="auto"/>
            <w:right w:val="none" w:sz="0" w:space="0" w:color="auto"/>
          </w:divBdr>
        </w:div>
        <w:div w:id="1433629383">
          <w:marLeft w:val="0"/>
          <w:marRight w:val="0"/>
          <w:marTop w:val="0"/>
          <w:marBottom w:val="0"/>
          <w:divBdr>
            <w:top w:val="none" w:sz="0" w:space="0" w:color="auto"/>
            <w:left w:val="none" w:sz="0" w:space="0" w:color="auto"/>
            <w:bottom w:val="none" w:sz="0" w:space="0" w:color="auto"/>
            <w:right w:val="none" w:sz="0" w:space="0" w:color="auto"/>
          </w:divBdr>
        </w:div>
        <w:div w:id="1448309570">
          <w:marLeft w:val="0"/>
          <w:marRight w:val="0"/>
          <w:marTop w:val="0"/>
          <w:marBottom w:val="0"/>
          <w:divBdr>
            <w:top w:val="none" w:sz="0" w:space="0" w:color="auto"/>
            <w:left w:val="none" w:sz="0" w:space="0" w:color="auto"/>
            <w:bottom w:val="none" w:sz="0" w:space="0" w:color="auto"/>
            <w:right w:val="none" w:sz="0" w:space="0" w:color="auto"/>
          </w:divBdr>
        </w:div>
        <w:div w:id="1480153438">
          <w:marLeft w:val="0"/>
          <w:marRight w:val="0"/>
          <w:marTop w:val="0"/>
          <w:marBottom w:val="0"/>
          <w:divBdr>
            <w:top w:val="none" w:sz="0" w:space="0" w:color="auto"/>
            <w:left w:val="none" w:sz="0" w:space="0" w:color="auto"/>
            <w:bottom w:val="none" w:sz="0" w:space="0" w:color="auto"/>
            <w:right w:val="none" w:sz="0" w:space="0" w:color="auto"/>
          </w:divBdr>
        </w:div>
        <w:div w:id="1527718774">
          <w:marLeft w:val="0"/>
          <w:marRight w:val="0"/>
          <w:marTop w:val="0"/>
          <w:marBottom w:val="0"/>
          <w:divBdr>
            <w:top w:val="none" w:sz="0" w:space="0" w:color="auto"/>
            <w:left w:val="none" w:sz="0" w:space="0" w:color="auto"/>
            <w:bottom w:val="none" w:sz="0" w:space="0" w:color="auto"/>
            <w:right w:val="none" w:sz="0" w:space="0" w:color="auto"/>
          </w:divBdr>
        </w:div>
        <w:div w:id="1534994755">
          <w:marLeft w:val="0"/>
          <w:marRight w:val="0"/>
          <w:marTop w:val="0"/>
          <w:marBottom w:val="0"/>
          <w:divBdr>
            <w:top w:val="none" w:sz="0" w:space="0" w:color="auto"/>
            <w:left w:val="none" w:sz="0" w:space="0" w:color="auto"/>
            <w:bottom w:val="none" w:sz="0" w:space="0" w:color="auto"/>
            <w:right w:val="none" w:sz="0" w:space="0" w:color="auto"/>
          </w:divBdr>
          <w:divsChild>
            <w:div w:id="561527855">
              <w:marLeft w:val="0"/>
              <w:marRight w:val="0"/>
              <w:marTop w:val="0"/>
              <w:marBottom w:val="0"/>
              <w:divBdr>
                <w:top w:val="none" w:sz="0" w:space="0" w:color="auto"/>
                <w:left w:val="none" w:sz="0" w:space="0" w:color="auto"/>
                <w:bottom w:val="none" w:sz="0" w:space="0" w:color="auto"/>
                <w:right w:val="none" w:sz="0" w:space="0" w:color="auto"/>
              </w:divBdr>
            </w:div>
            <w:div w:id="777993372">
              <w:marLeft w:val="0"/>
              <w:marRight w:val="0"/>
              <w:marTop w:val="0"/>
              <w:marBottom w:val="0"/>
              <w:divBdr>
                <w:top w:val="none" w:sz="0" w:space="0" w:color="auto"/>
                <w:left w:val="none" w:sz="0" w:space="0" w:color="auto"/>
                <w:bottom w:val="none" w:sz="0" w:space="0" w:color="auto"/>
                <w:right w:val="none" w:sz="0" w:space="0" w:color="auto"/>
              </w:divBdr>
            </w:div>
            <w:div w:id="908460913">
              <w:marLeft w:val="0"/>
              <w:marRight w:val="0"/>
              <w:marTop w:val="0"/>
              <w:marBottom w:val="0"/>
              <w:divBdr>
                <w:top w:val="none" w:sz="0" w:space="0" w:color="auto"/>
                <w:left w:val="none" w:sz="0" w:space="0" w:color="auto"/>
                <w:bottom w:val="none" w:sz="0" w:space="0" w:color="auto"/>
                <w:right w:val="none" w:sz="0" w:space="0" w:color="auto"/>
              </w:divBdr>
            </w:div>
            <w:div w:id="1195966907">
              <w:marLeft w:val="0"/>
              <w:marRight w:val="0"/>
              <w:marTop w:val="0"/>
              <w:marBottom w:val="0"/>
              <w:divBdr>
                <w:top w:val="none" w:sz="0" w:space="0" w:color="auto"/>
                <w:left w:val="none" w:sz="0" w:space="0" w:color="auto"/>
                <w:bottom w:val="none" w:sz="0" w:space="0" w:color="auto"/>
                <w:right w:val="none" w:sz="0" w:space="0" w:color="auto"/>
              </w:divBdr>
            </w:div>
          </w:divsChild>
        </w:div>
        <w:div w:id="1554003693">
          <w:marLeft w:val="0"/>
          <w:marRight w:val="0"/>
          <w:marTop w:val="0"/>
          <w:marBottom w:val="0"/>
          <w:divBdr>
            <w:top w:val="none" w:sz="0" w:space="0" w:color="auto"/>
            <w:left w:val="none" w:sz="0" w:space="0" w:color="auto"/>
            <w:bottom w:val="none" w:sz="0" w:space="0" w:color="auto"/>
            <w:right w:val="none" w:sz="0" w:space="0" w:color="auto"/>
          </w:divBdr>
        </w:div>
        <w:div w:id="1561791572">
          <w:marLeft w:val="0"/>
          <w:marRight w:val="0"/>
          <w:marTop w:val="0"/>
          <w:marBottom w:val="0"/>
          <w:divBdr>
            <w:top w:val="none" w:sz="0" w:space="0" w:color="auto"/>
            <w:left w:val="none" w:sz="0" w:space="0" w:color="auto"/>
            <w:bottom w:val="none" w:sz="0" w:space="0" w:color="auto"/>
            <w:right w:val="none" w:sz="0" w:space="0" w:color="auto"/>
          </w:divBdr>
        </w:div>
        <w:div w:id="1581937765">
          <w:marLeft w:val="0"/>
          <w:marRight w:val="0"/>
          <w:marTop w:val="0"/>
          <w:marBottom w:val="0"/>
          <w:divBdr>
            <w:top w:val="none" w:sz="0" w:space="0" w:color="auto"/>
            <w:left w:val="none" w:sz="0" w:space="0" w:color="auto"/>
            <w:bottom w:val="none" w:sz="0" w:space="0" w:color="auto"/>
            <w:right w:val="none" w:sz="0" w:space="0" w:color="auto"/>
          </w:divBdr>
        </w:div>
        <w:div w:id="1583223468">
          <w:marLeft w:val="0"/>
          <w:marRight w:val="0"/>
          <w:marTop w:val="0"/>
          <w:marBottom w:val="0"/>
          <w:divBdr>
            <w:top w:val="none" w:sz="0" w:space="0" w:color="auto"/>
            <w:left w:val="none" w:sz="0" w:space="0" w:color="auto"/>
            <w:bottom w:val="none" w:sz="0" w:space="0" w:color="auto"/>
            <w:right w:val="none" w:sz="0" w:space="0" w:color="auto"/>
          </w:divBdr>
        </w:div>
        <w:div w:id="1709256727">
          <w:marLeft w:val="0"/>
          <w:marRight w:val="0"/>
          <w:marTop w:val="0"/>
          <w:marBottom w:val="0"/>
          <w:divBdr>
            <w:top w:val="none" w:sz="0" w:space="0" w:color="auto"/>
            <w:left w:val="none" w:sz="0" w:space="0" w:color="auto"/>
            <w:bottom w:val="none" w:sz="0" w:space="0" w:color="auto"/>
            <w:right w:val="none" w:sz="0" w:space="0" w:color="auto"/>
          </w:divBdr>
        </w:div>
        <w:div w:id="1710565864">
          <w:marLeft w:val="0"/>
          <w:marRight w:val="0"/>
          <w:marTop w:val="0"/>
          <w:marBottom w:val="0"/>
          <w:divBdr>
            <w:top w:val="none" w:sz="0" w:space="0" w:color="auto"/>
            <w:left w:val="none" w:sz="0" w:space="0" w:color="auto"/>
            <w:bottom w:val="none" w:sz="0" w:space="0" w:color="auto"/>
            <w:right w:val="none" w:sz="0" w:space="0" w:color="auto"/>
          </w:divBdr>
          <w:divsChild>
            <w:div w:id="138770491">
              <w:marLeft w:val="0"/>
              <w:marRight w:val="0"/>
              <w:marTop w:val="0"/>
              <w:marBottom w:val="0"/>
              <w:divBdr>
                <w:top w:val="none" w:sz="0" w:space="0" w:color="auto"/>
                <w:left w:val="none" w:sz="0" w:space="0" w:color="auto"/>
                <w:bottom w:val="none" w:sz="0" w:space="0" w:color="auto"/>
                <w:right w:val="none" w:sz="0" w:space="0" w:color="auto"/>
              </w:divBdr>
            </w:div>
            <w:div w:id="283779040">
              <w:marLeft w:val="0"/>
              <w:marRight w:val="0"/>
              <w:marTop w:val="0"/>
              <w:marBottom w:val="0"/>
              <w:divBdr>
                <w:top w:val="none" w:sz="0" w:space="0" w:color="auto"/>
                <w:left w:val="none" w:sz="0" w:space="0" w:color="auto"/>
                <w:bottom w:val="none" w:sz="0" w:space="0" w:color="auto"/>
                <w:right w:val="none" w:sz="0" w:space="0" w:color="auto"/>
              </w:divBdr>
            </w:div>
            <w:div w:id="294679358">
              <w:marLeft w:val="0"/>
              <w:marRight w:val="0"/>
              <w:marTop w:val="0"/>
              <w:marBottom w:val="0"/>
              <w:divBdr>
                <w:top w:val="none" w:sz="0" w:space="0" w:color="auto"/>
                <w:left w:val="none" w:sz="0" w:space="0" w:color="auto"/>
                <w:bottom w:val="none" w:sz="0" w:space="0" w:color="auto"/>
                <w:right w:val="none" w:sz="0" w:space="0" w:color="auto"/>
              </w:divBdr>
            </w:div>
          </w:divsChild>
        </w:div>
        <w:div w:id="1730690022">
          <w:marLeft w:val="0"/>
          <w:marRight w:val="0"/>
          <w:marTop w:val="0"/>
          <w:marBottom w:val="0"/>
          <w:divBdr>
            <w:top w:val="none" w:sz="0" w:space="0" w:color="auto"/>
            <w:left w:val="none" w:sz="0" w:space="0" w:color="auto"/>
            <w:bottom w:val="none" w:sz="0" w:space="0" w:color="auto"/>
            <w:right w:val="none" w:sz="0" w:space="0" w:color="auto"/>
          </w:divBdr>
        </w:div>
        <w:div w:id="1735199552">
          <w:marLeft w:val="0"/>
          <w:marRight w:val="0"/>
          <w:marTop w:val="0"/>
          <w:marBottom w:val="0"/>
          <w:divBdr>
            <w:top w:val="none" w:sz="0" w:space="0" w:color="auto"/>
            <w:left w:val="none" w:sz="0" w:space="0" w:color="auto"/>
            <w:bottom w:val="none" w:sz="0" w:space="0" w:color="auto"/>
            <w:right w:val="none" w:sz="0" w:space="0" w:color="auto"/>
          </w:divBdr>
        </w:div>
        <w:div w:id="1751539229">
          <w:marLeft w:val="0"/>
          <w:marRight w:val="0"/>
          <w:marTop w:val="0"/>
          <w:marBottom w:val="0"/>
          <w:divBdr>
            <w:top w:val="none" w:sz="0" w:space="0" w:color="auto"/>
            <w:left w:val="none" w:sz="0" w:space="0" w:color="auto"/>
            <w:bottom w:val="none" w:sz="0" w:space="0" w:color="auto"/>
            <w:right w:val="none" w:sz="0" w:space="0" w:color="auto"/>
          </w:divBdr>
        </w:div>
        <w:div w:id="1767118516">
          <w:marLeft w:val="0"/>
          <w:marRight w:val="0"/>
          <w:marTop w:val="0"/>
          <w:marBottom w:val="0"/>
          <w:divBdr>
            <w:top w:val="none" w:sz="0" w:space="0" w:color="auto"/>
            <w:left w:val="none" w:sz="0" w:space="0" w:color="auto"/>
            <w:bottom w:val="none" w:sz="0" w:space="0" w:color="auto"/>
            <w:right w:val="none" w:sz="0" w:space="0" w:color="auto"/>
          </w:divBdr>
        </w:div>
        <w:div w:id="1804537141">
          <w:marLeft w:val="0"/>
          <w:marRight w:val="0"/>
          <w:marTop w:val="0"/>
          <w:marBottom w:val="0"/>
          <w:divBdr>
            <w:top w:val="none" w:sz="0" w:space="0" w:color="auto"/>
            <w:left w:val="none" w:sz="0" w:space="0" w:color="auto"/>
            <w:bottom w:val="none" w:sz="0" w:space="0" w:color="auto"/>
            <w:right w:val="none" w:sz="0" w:space="0" w:color="auto"/>
          </w:divBdr>
          <w:divsChild>
            <w:div w:id="569924270">
              <w:marLeft w:val="0"/>
              <w:marRight w:val="0"/>
              <w:marTop w:val="0"/>
              <w:marBottom w:val="0"/>
              <w:divBdr>
                <w:top w:val="none" w:sz="0" w:space="0" w:color="auto"/>
                <w:left w:val="none" w:sz="0" w:space="0" w:color="auto"/>
                <w:bottom w:val="none" w:sz="0" w:space="0" w:color="auto"/>
                <w:right w:val="none" w:sz="0" w:space="0" w:color="auto"/>
              </w:divBdr>
            </w:div>
            <w:div w:id="613169434">
              <w:marLeft w:val="0"/>
              <w:marRight w:val="0"/>
              <w:marTop w:val="0"/>
              <w:marBottom w:val="0"/>
              <w:divBdr>
                <w:top w:val="none" w:sz="0" w:space="0" w:color="auto"/>
                <w:left w:val="none" w:sz="0" w:space="0" w:color="auto"/>
                <w:bottom w:val="none" w:sz="0" w:space="0" w:color="auto"/>
                <w:right w:val="none" w:sz="0" w:space="0" w:color="auto"/>
              </w:divBdr>
            </w:div>
            <w:div w:id="1025716902">
              <w:marLeft w:val="0"/>
              <w:marRight w:val="0"/>
              <w:marTop w:val="0"/>
              <w:marBottom w:val="0"/>
              <w:divBdr>
                <w:top w:val="none" w:sz="0" w:space="0" w:color="auto"/>
                <w:left w:val="none" w:sz="0" w:space="0" w:color="auto"/>
                <w:bottom w:val="none" w:sz="0" w:space="0" w:color="auto"/>
                <w:right w:val="none" w:sz="0" w:space="0" w:color="auto"/>
              </w:divBdr>
            </w:div>
            <w:div w:id="1741708941">
              <w:marLeft w:val="0"/>
              <w:marRight w:val="0"/>
              <w:marTop w:val="0"/>
              <w:marBottom w:val="0"/>
              <w:divBdr>
                <w:top w:val="none" w:sz="0" w:space="0" w:color="auto"/>
                <w:left w:val="none" w:sz="0" w:space="0" w:color="auto"/>
                <w:bottom w:val="none" w:sz="0" w:space="0" w:color="auto"/>
                <w:right w:val="none" w:sz="0" w:space="0" w:color="auto"/>
              </w:divBdr>
            </w:div>
          </w:divsChild>
        </w:div>
        <w:div w:id="1854150575">
          <w:marLeft w:val="0"/>
          <w:marRight w:val="0"/>
          <w:marTop w:val="0"/>
          <w:marBottom w:val="0"/>
          <w:divBdr>
            <w:top w:val="none" w:sz="0" w:space="0" w:color="auto"/>
            <w:left w:val="none" w:sz="0" w:space="0" w:color="auto"/>
            <w:bottom w:val="none" w:sz="0" w:space="0" w:color="auto"/>
            <w:right w:val="none" w:sz="0" w:space="0" w:color="auto"/>
          </w:divBdr>
        </w:div>
        <w:div w:id="1860699072">
          <w:marLeft w:val="0"/>
          <w:marRight w:val="0"/>
          <w:marTop w:val="0"/>
          <w:marBottom w:val="0"/>
          <w:divBdr>
            <w:top w:val="none" w:sz="0" w:space="0" w:color="auto"/>
            <w:left w:val="none" w:sz="0" w:space="0" w:color="auto"/>
            <w:bottom w:val="none" w:sz="0" w:space="0" w:color="auto"/>
            <w:right w:val="none" w:sz="0" w:space="0" w:color="auto"/>
          </w:divBdr>
        </w:div>
        <w:div w:id="1865441258">
          <w:marLeft w:val="0"/>
          <w:marRight w:val="0"/>
          <w:marTop w:val="0"/>
          <w:marBottom w:val="0"/>
          <w:divBdr>
            <w:top w:val="none" w:sz="0" w:space="0" w:color="auto"/>
            <w:left w:val="none" w:sz="0" w:space="0" w:color="auto"/>
            <w:bottom w:val="none" w:sz="0" w:space="0" w:color="auto"/>
            <w:right w:val="none" w:sz="0" w:space="0" w:color="auto"/>
          </w:divBdr>
        </w:div>
        <w:div w:id="1865944948">
          <w:marLeft w:val="0"/>
          <w:marRight w:val="0"/>
          <w:marTop w:val="0"/>
          <w:marBottom w:val="0"/>
          <w:divBdr>
            <w:top w:val="none" w:sz="0" w:space="0" w:color="auto"/>
            <w:left w:val="none" w:sz="0" w:space="0" w:color="auto"/>
            <w:bottom w:val="none" w:sz="0" w:space="0" w:color="auto"/>
            <w:right w:val="none" w:sz="0" w:space="0" w:color="auto"/>
          </w:divBdr>
        </w:div>
        <w:div w:id="1875118915">
          <w:marLeft w:val="0"/>
          <w:marRight w:val="0"/>
          <w:marTop w:val="0"/>
          <w:marBottom w:val="0"/>
          <w:divBdr>
            <w:top w:val="none" w:sz="0" w:space="0" w:color="auto"/>
            <w:left w:val="none" w:sz="0" w:space="0" w:color="auto"/>
            <w:bottom w:val="none" w:sz="0" w:space="0" w:color="auto"/>
            <w:right w:val="none" w:sz="0" w:space="0" w:color="auto"/>
          </w:divBdr>
          <w:divsChild>
            <w:div w:id="319968438">
              <w:marLeft w:val="0"/>
              <w:marRight w:val="0"/>
              <w:marTop w:val="0"/>
              <w:marBottom w:val="0"/>
              <w:divBdr>
                <w:top w:val="none" w:sz="0" w:space="0" w:color="auto"/>
                <w:left w:val="none" w:sz="0" w:space="0" w:color="auto"/>
                <w:bottom w:val="none" w:sz="0" w:space="0" w:color="auto"/>
                <w:right w:val="none" w:sz="0" w:space="0" w:color="auto"/>
              </w:divBdr>
            </w:div>
            <w:div w:id="752703100">
              <w:marLeft w:val="0"/>
              <w:marRight w:val="0"/>
              <w:marTop w:val="0"/>
              <w:marBottom w:val="0"/>
              <w:divBdr>
                <w:top w:val="none" w:sz="0" w:space="0" w:color="auto"/>
                <w:left w:val="none" w:sz="0" w:space="0" w:color="auto"/>
                <w:bottom w:val="none" w:sz="0" w:space="0" w:color="auto"/>
                <w:right w:val="none" w:sz="0" w:space="0" w:color="auto"/>
              </w:divBdr>
            </w:div>
            <w:div w:id="878206339">
              <w:marLeft w:val="0"/>
              <w:marRight w:val="0"/>
              <w:marTop w:val="0"/>
              <w:marBottom w:val="0"/>
              <w:divBdr>
                <w:top w:val="none" w:sz="0" w:space="0" w:color="auto"/>
                <w:left w:val="none" w:sz="0" w:space="0" w:color="auto"/>
                <w:bottom w:val="none" w:sz="0" w:space="0" w:color="auto"/>
                <w:right w:val="none" w:sz="0" w:space="0" w:color="auto"/>
              </w:divBdr>
            </w:div>
            <w:div w:id="1662389483">
              <w:marLeft w:val="0"/>
              <w:marRight w:val="0"/>
              <w:marTop w:val="0"/>
              <w:marBottom w:val="0"/>
              <w:divBdr>
                <w:top w:val="none" w:sz="0" w:space="0" w:color="auto"/>
                <w:left w:val="none" w:sz="0" w:space="0" w:color="auto"/>
                <w:bottom w:val="none" w:sz="0" w:space="0" w:color="auto"/>
                <w:right w:val="none" w:sz="0" w:space="0" w:color="auto"/>
              </w:divBdr>
            </w:div>
          </w:divsChild>
        </w:div>
        <w:div w:id="1883596502">
          <w:marLeft w:val="0"/>
          <w:marRight w:val="0"/>
          <w:marTop w:val="0"/>
          <w:marBottom w:val="0"/>
          <w:divBdr>
            <w:top w:val="none" w:sz="0" w:space="0" w:color="auto"/>
            <w:left w:val="none" w:sz="0" w:space="0" w:color="auto"/>
            <w:bottom w:val="none" w:sz="0" w:space="0" w:color="auto"/>
            <w:right w:val="none" w:sz="0" w:space="0" w:color="auto"/>
          </w:divBdr>
        </w:div>
        <w:div w:id="1927152964">
          <w:marLeft w:val="0"/>
          <w:marRight w:val="0"/>
          <w:marTop w:val="0"/>
          <w:marBottom w:val="0"/>
          <w:divBdr>
            <w:top w:val="none" w:sz="0" w:space="0" w:color="auto"/>
            <w:left w:val="none" w:sz="0" w:space="0" w:color="auto"/>
            <w:bottom w:val="none" w:sz="0" w:space="0" w:color="auto"/>
            <w:right w:val="none" w:sz="0" w:space="0" w:color="auto"/>
          </w:divBdr>
        </w:div>
        <w:div w:id="1927154941">
          <w:marLeft w:val="0"/>
          <w:marRight w:val="0"/>
          <w:marTop w:val="0"/>
          <w:marBottom w:val="0"/>
          <w:divBdr>
            <w:top w:val="none" w:sz="0" w:space="0" w:color="auto"/>
            <w:left w:val="none" w:sz="0" w:space="0" w:color="auto"/>
            <w:bottom w:val="none" w:sz="0" w:space="0" w:color="auto"/>
            <w:right w:val="none" w:sz="0" w:space="0" w:color="auto"/>
          </w:divBdr>
        </w:div>
        <w:div w:id="1933781635">
          <w:marLeft w:val="0"/>
          <w:marRight w:val="0"/>
          <w:marTop w:val="0"/>
          <w:marBottom w:val="0"/>
          <w:divBdr>
            <w:top w:val="none" w:sz="0" w:space="0" w:color="auto"/>
            <w:left w:val="none" w:sz="0" w:space="0" w:color="auto"/>
            <w:bottom w:val="none" w:sz="0" w:space="0" w:color="auto"/>
            <w:right w:val="none" w:sz="0" w:space="0" w:color="auto"/>
          </w:divBdr>
        </w:div>
        <w:div w:id="1935820090">
          <w:marLeft w:val="0"/>
          <w:marRight w:val="0"/>
          <w:marTop w:val="0"/>
          <w:marBottom w:val="0"/>
          <w:divBdr>
            <w:top w:val="none" w:sz="0" w:space="0" w:color="auto"/>
            <w:left w:val="none" w:sz="0" w:space="0" w:color="auto"/>
            <w:bottom w:val="none" w:sz="0" w:space="0" w:color="auto"/>
            <w:right w:val="none" w:sz="0" w:space="0" w:color="auto"/>
          </w:divBdr>
        </w:div>
        <w:div w:id="1962880357">
          <w:marLeft w:val="0"/>
          <w:marRight w:val="0"/>
          <w:marTop w:val="0"/>
          <w:marBottom w:val="0"/>
          <w:divBdr>
            <w:top w:val="none" w:sz="0" w:space="0" w:color="auto"/>
            <w:left w:val="none" w:sz="0" w:space="0" w:color="auto"/>
            <w:bottom w:val="none" w:sz="0" w:space="0" w:color="auto"/>
            <w:right w:val="none" w:sz="0" w:space="0" w:color="auto"/>
          </w:divBdr>
          <w:divsChild>
            <w:div w:id="706301580">
              <w:marLeft w:val="0"/>
              <w:marRight w:val="0"/>
              <w:marTop w:val="0"/>
              <w:marBottom w:val="0"/>
              <w:divBdr>
                <w:top w:val="none" w:sz="0" w:space="0" w:color="auto"/>
                <w:left w:val="none" w:sz="0" w:space="0" w:color="auto"/>
                <w:bottom w:val="none" w:sz="0" w:space="0" w:color="auto"/>
                <w:right w:val="none" w:sz="0" w:space="0" w:color="auto"/>
              </w:divBdr>
            </w:div>
            <w:div w:id="1073968606">
              <w:marLeft w:val="0"/>
              <w:marRight w:val="0"/>
              <w:marTop w:val="0"/>
              <w:marBottom w:val="0"/>
              <w:divBdr>
                <w:top w:val="none" w:sz="0" w:space="0" w:color="auto"/>
                <w:left w:val="none" w:sz="0" w:space="0" w:color="auto"/>
                <w:bottom w:val="none" w:sz="0" w:space="0" w:color="auto"/>
                <w:right w:val="none" w:sz="0" w:space="0" w:color="auto"/>
              </w:divBdr>
            </w:div>
            <w:div w:id="1229464830">
              <w:marLeft w:val="0"/>
              <w:marRight w:val="0"/>
              <w:marTop w:val="0"/>
              <w:marBottom w:val="0"/>
              <w:divBdr>
                <w:top w:val="none" w:sz="0" w:space="0" w:color="auto"/>
                <w:left w:val="none" w:sz="0" w:space="0" w:color="auto"/>
                <w:bottom w:val="none" w:sz="0" w:space="0" w:color="auto"/>
                <w:right w:val="none" w:sz="0" w:space="0" w:color="auto"/>
              </w:divBdr>
            </w:div>
            <w:div w:id="1989434867">
              <w:marLeft w:val="0"/>
              <w:marRight w:val="0"/>
              <w:marTop w:val="0"/>
              <w:marBottom w:val="0"/>
              <w:divBdr>
                <w:top w:val="none" w:sz="0" w:space="0" w:color="auto"/>
                <w:left w:val="none" w:sz="0" w:space="0" w:color="auto"/>
                <w:bottom w:val="none" w:sz="0" w:space="0" w:color="auto"/>
                <w:right w:val="none" w:sz="0" w:space="0" w:color="auto"/>
              </w:divBdr>
            </w:div>
          </w:divsChild>
        </w:div>
        <w:div w:id="1969512544">
          <w:marLeft w:val="0"/>
          <w:marRight w:val="0"/>
          <w:marTop w:val="0"/>
          <w:marBottom w:val="0"/>
          <w:divBdr>
            <w:top w:val="none" w:sz="0" w:space="0" w:color="auto"/>
            <w:left w:val="none" w:sz="0" w:space="0" w:color="auto"/>
            <w:bottom w:val="none" w:sz="0" w:space="0" w:color="auto"/>
            <w:right w:val="none" w:sz="0" w:space="0" w:color="auto"/>
          </w:divBdr>
        </w:div>
        <w:div w:id="1972708796">
          <w:marLeft w:val="0"/>
          <w:marRight w:val="0"/>
          <w:marTop w:val="0"/>
          <w:marBottom w:val="0"/>
          <w:divBdr>
            <w:top w:val="none" w:sz="0" w:space="0" w:color="auto"/>
            <w:left w:val="none" w:sz="0" w:space="0" w:color="auto"/>
            <w:bottom w:val="none" w:sz="0" w:space="0" w:color="auto"/>
            <w:right w:val="none" w:sz="0" w:space="0" w:color="auto"/>
          </w:divBdr>
        </w:div>
        <w:div w:id="2051152809">
          <w:marLeft w:val="0"/>
          <w:marRight w:val="0"/>
          <w:marTop w:val="0"/>
          <w:marBottom w:val="0"/>
          <w:divBdr>
            <w:top w:val="none" w:sz="0" w:space="0" w:color="auto"/>
            <w:left w:val="none" w:sz="0" w:space="0" w:color="auto"/>
            <w:bottom w:val="none" w:sz="0" w:space="0" w:color="auto"/>
            <w:right w:val="none" w:sz="0" w:space="0" w:color="auto"/>
          </w:divBdr>
          <w:divsChild>
            <w:div w:id="6947086">
              <w:marLeft w:val="0"/>
              <w:marRight w:val="0"/>
              <w:marTop w:val="0"/>
              <w:marBottom w:val="0"/>
              <w:divBdr>
                <w:top w:val="none" w:sz="0" w:space="0" w:color="auto"/>
                <w:left w:val="none" w:sz="0" w:space="0" w:color="auto"/>
                <w:bottom w:val="none" w:sz="0" w:space="0" w:color="auto"/>
                <w:right w:val="none" w:sz="0" w:space="0" w:color="auto"/>
              </w:divBdr>
            </w:div>
            <w:div w:id="332031510">
              <w:marLeft w:val="0"/>
              <w:marRight w:val="0"/>
              <w:marTop w:val="0"/>
              <w:marBottom w:val="0"/>
              <w:divBdr>
                <w:top w:val="none" w:sz="0" w:space="0" w:color="auto"/>
                <w:left w:val="none" w:sz="0" w:space="0" w:color="auto"/>
                <w:bottom w:val="none" w:sz="0" w:space="0" w:color="auto"/>
                <w:right w:val="none" w:sz="0" w:space="0" w:color="auto"/>
              </w:divBdr>
            </w:div>
            <w:div w:id="756558755">
              <w:marLeft w:val="0"/>
              <w:marRight w:val="0"/>
              <w:marTop w:val="0"/>
              <w:marBottom w:val="0"/>
              <w:divBdr>
                <w:top w:val="none" w:sz="0" w:space="0" w:color="auto"/>
                <w:left w:val="none" w:sz="0" w:space="0" w:color="auto"/>
                <w:bottom w:val="none" w:sz="0" w:space="0" w:color="auto"/>
                <w:right w:val="none" w:sz="0" w:space="0" w:color="auto"/>
              </w:divBdr>
            </w:div>
            <w:div w:id="955671032">
              <w:marLeft w:val="0"/>
              <w:marRight w:val="0"/>
              <w:marTop w:val="0"/>
              <w:marBottom w:val="0"/>
              <w:divBdr>
                <w:top w:val="none" w:sz="0" w:space="0" w:color="auto"/>
                <w:left w:val="none" w:sz="0" w:space="0" w:color="auto"/>
                <w:bottom w:val="none" w:sz="0" w:space="0" w:color="auto"/>
                <w:right w:val="none" w:sz="0" w:space="0" w:color="auto"/>
              </w:divBdr>
            </w:div>
            <w:div w:id="1844971158">
              <w:marLeft w:val="0"/>
              <w:marRight w:val="0"/>
              <w:marTop w:val="0"/>
              <w:marBottom w:val="0"/>
              <w:divBdr>
                <w:top w:val="none" w:sz="0" w:space="0" w:color="auto"/>
                <w:left w:val="none" w:sz="0" w:space="0" w:color="auto"/>
                <w:bottom w:val="none" w:sz="0" w:space="0" w:color="auto"/>
                <w:right w:val="none" w:sz="0" w:space="0" w:color="auto"/>
              </w:divBdr>
            </w:div>
          </w:divsChild>
        </w:div>
        <w:div w:id="2054882891">
          <w:marLeft w:val="0"/>
          <w:marRight w:val="0"/>
          <w:marTop w:val="0"/>
          <w:marBottom w:val="0"/>
          <w:divBdr>
            <w:top w:val="none" w:sz="0" w:space="0" w:color="auto"/>
            <w:left w:val="none" w:sz="0" w:space="0" w:color="auto"/>
            <w:bottom w:val="none" w:sz="0" w:space="0" w:color="auto"/>
            <w:right w:val="none" w:sz="0" w:space="0" w:color="auto"/>
          </w:divBdr>
        </w:div>
        <w:div w:id="2068870057">
          <w:marLeft w:val="0"/>
          <w:marRight w:val="0"/>
          <w:marTop w:val="0"/>
          <w:marBottom w:val="0"/>
          <w:divBdr>
            <w:top w:val="none" w:sz="0" w:space="0" w:color="auto"/>
            <w:left w:val="none" w:sz="0" w:space="0" w:color="auto"/>
            <w:bottom w:val="none" w:sz="0" w:space="0" w:color="auto"/>
            <w:right w:val="none" w:sz="0" w:space="0" w:color="auto"/>
          </w:divBdr>
        </w:div>
        <w:div w:id="2102295055">
          <w:marLeft w:val="0"/>
          <w:marRight w:val="0"/>
          <w:marTop w:val="0"/>
          <w:marBottom w:val="0"/>
          <w:divBdr>
            <w:top w:val="none" w:sz="0" w:space="0" w:color="auto"/>
            <w:left w:val="none" w:sz="0" w:space="0" w:color="auto"/>
            <w:bottom w:val="none" w:sz="0" w:space="0" w:color="auto"/>
            <w:right w:val="none" w:sz="0" w:space="0" w:color="auto"/>
          </w:divBdr>
        </w:div>
        <w:div w:id="2106226591">
          <w:marLeft w:val="0"/>
          <w:marRight w:val="0"/>
          <w:marTop w:val="0"/>
          <w:marBottom w:val="0"/>
          <w:divBdr>
            <w:top w:val="none" w:sz="0" w:space="0" w:color="auto"/>
            <w:left w:val="none" w:sz="0" w:space="0" w:color="auto"/>
            <w:bottom w:val="none" w:sz="0" w:space="0" w:color="auto"/>
            <w:right w:val="none" w:sz="0" w:space="0" w:color="auto"/>
          </w:divBdr>
          <w:divsChild>
            <w:div w:id="391386250">
              <w:marLeft w:val="0"/>
              <w:marRight w:val="0"/>
              <w:marTop w:val="0"/>
              <w:marBottom w:val="0"/>
              <w:divBdr>
                <w:top w:val="none" w:sz="0" w:space="0" w:color="auto"/>
                <w:left w:val="none" w:sz="0" w:space="0" w:color="auto"/>
                <w:bottom w:val="none" w:sz="0" w:space="0" w:color="auto"/>
                <w:right w:val="none" w:sz="0" w:space="0" w:color="auto"/>
              </w:divBdr>
            </w:div>
            <w:div w:id="1684090002">
              <w:marLeft w:val="0"/>
              <w:marRight w:val="0"/>
              <w:marTop w:val="0"/>
              <w:marBottom w:val="0"/>
              <w:divBdr>
                <w:top w:val="none" w:sz="0" w:space="0" w:color="auto"/>
                <w:left w:val="none" w:sz="0" w:space="0" w:color="auto"/>
                <w:bottom w:val="none" w:sz="0" w:space="0" w:color="auto"/>
                <w:right w:val="none" w:sz="0" w:space="0" w:color="auto"/>
              </w:divBdr>
            </w:div>
          </w:divsChild>
        </w:div>
        <w:div w:id="2143502905">
          <w:marLeft w:val="0"/>
          <w:marRight w:val="0"/>
          <w:marTop w:val="0"/>
          <w:marBottom w:val="0"/>
          <w:divBdr>
            <w:top w:val="none" w:sz="0" w:space="0" w:color="auto"/>
            <w:left w:val="none" w:sz="0" w:space="0" w:color="auto"/>
            <w:bottom w:val="none" w:sz="0" w:space="0" w:color="auto"/>
            <w:right w:val="none" w:sz="0" w:space="0" w:color="auto"/>
          </w:divBdr>
        </w:div>
        <w:div w:id="2144421054">
          <w:marLeft w:val="0"/>
          <w:marRight w:val="0"/>
          <w:marTop w:val="0"/>
          <w:marBottom w:val="0"/>
          <w:divBdr>
            <w:top w:val="none" w:sz="0" w:space="0" w:color="auto"/>
            <w:left w:val="none" w:sz="0" w:space="0" w:color="auto"/>
            <w:bottom w:val="none" w:sz="0" w:space="0" w:color="auto"/>
            <w:right w:val="none" w:sz="0" w:space="0" w:color="auto"/>
          </w:divBdr>
          <w:divsChild>
            <w:div w:id="1269703093">
              <w:marLeft w:val="0"/>
              <w:marRight w:val="0"/>
              <w:marTop w:val="0"/>
              <w:marBottom w:val="0"/>
              <w:divBdr>
                <w:top w:val="none" w:sz="0" w:space="0" w:color="auto"/>
                <w:left w:val="none" w:sz="0" w:space="0" w:color="auto"/>
                <w:bottom w:val="none" w:sz="0" w:space="0" w:color="auto"/>
                <w:right w:val="none" w:sz="0" w:space="0" w:color="auto"/>
              </w:divBdr>
            </w:div>
            <w:div w:id="1570771024">
              <w:marLeft w:val="0"/>
              <w:marRight w:val="0"/>
              <w:marTop w:val="0"/>
              <w:marBottom w:val="0"/>
              <w:divBdr>
                <w:top w:val="none" w:sz="0" w:space="0" w:color="auto"/>
                <w:left w:val="none" w:sz="0" w:space="0" w:color="auto"/>
                <w:bottom w:val="none" w:sz="0" w:space="0" w:color="auto"/>
                <w:right w:val="none" w:sz="0" w:space="0" w:color="auto"/>
              </w:divBdr>
            </w:div>
            <w:div w:id="21374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www.fifepensionfund.org/forms-and-publications/fife-pension-board-constitution" TargetMode="External"/><Relationship Id="rId26" Type="http://schemas.openxmlformats.org/officeDocument/2006/relationships/hyperlink" Target="https://scotlgpsregs.org/schemeregs/tpregs2014/timeline.php" TargetMode="External"/><Relationship Id="rId3" Type="http://schemas.openxmlformats.org/officeDocument/2006/relationships/customXml" Target="../customXml/item3.xml"/><Relationship Id="rId21" Type="http://schemas.openxmlformats.org/officeDocument/2006/relationships/hyperlink" Target="http://www.lgpsregs.org/schemeregs/lgpsregs2013/timeline.ph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scotlgpsregs.org/schemeregs/lgpsregs2018/timeline.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egislation.gov.uk/ssi/2018/141/regulation/61" TargetMode="External"/><Relationship Id="rId29" Type="http://schemas.openxmlformats.org/officeDocument/2006/relationships/hyperlink" Target="https://scotlgpsregs.org/schemeregs/lgpsregs2018/timeline.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staff-transfers-public-service-pension-schem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ifepensionfund.org" TargetMode="External"/><Relationship Id="rId23" Type="http://schemas.openxmlformats.org/officeDocument/2006/relationships/hyperlink" Target="https://www.gov.scot/publications/statutory-guidance-local-authorities-contracting/"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gpsmember.org" TargetMode="External"/><Relationship Id="rId22" Type="http://schemas.openxmlformats.org/officeDocument/2006/relationships/hyperlink" Target="https://www.civilservicepensionscheme.org.uk/joining-the-pension-scheme/transfer-an-old-pension-into-your-civil-service-pension/public-sector-transfer-club/" TargetMode="External"/><Relationship Id="rId27" Type="http://schemas.openxmlformats.org/officeDocument/2006/relationships/customXml" Target="ink/ink1.xml"/><Relationship Id="rId30"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4T17:28:57.808"/>
    </inkml:context>
    <inkml:brush xml:id="br0">
      <inkml:brushProperty name="width" value="0.035" units="cm"/>
      <inkml:brushProperty name="height" value="0.03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df342c-f02c-48b6-921f-29b7ca0cb3e1">
      <UserInfo>
        <DisplayName>Elaine Muir</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DCEDFA650B84C96213CD6569EBDB4" ma:contentTypeVersion="8" ma:contentTypeDescription="Create a new document." ma:contentTypeScope="" ma:versionID="03b3df5ca75873c8637755d1c54d6d12">
  <xsd:schema xmlns:xsd="http://www.w3.org/2001/XMLSchema" xmlns:xs="http://www.w3.org/2001/XMLSchema" xmlns:p="http://schemas.microsoft.com/office/2006/metadata/properties" xmlns:ns2="aadde95f-8e3a-424a-a79e-9a30405444ad" xmlns:ns3="dbdf342c-f02c-48b6-921f-29b7ca0cb3e1" targetNamespace="http://schemas.microsoft.com/office/2006/metadata/properties" ma:root="true" ma:fieldsID="be06117283f9910b6495a2b5bdeb55e5" ns2:_="" ns3:_="">
    <xsd:import namespace="aadde95f-8e3a-424a-a79e-9a30405444ad"/>
    <xsd:import namespace="dbdf342c-f02c-48b6-921f-29b7ca0cb3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de95f-8e3a-424a-a79e-9a3040544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f342c-f02c-48b6-921f-29b7ca0cb3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B3B39-246C-4C9D-84C5-1E648FF30756}">
  <ds:schemaRefs>
    <ds:schemaRef ds:uri="http://purl.org/dc/terms/"/>
    <ds:schemaRef ds:uri="http://schemas.microsoft.com/office/2006/documentManagement/types"/>
    <ds:schemaRef ds:uri="http://schemas.openxmlformats.org/package/2006/metadata/core-properties"/>
    <ds:schemaRef ds:uri="dbdf342c-f02c-48b6-921f-29b7ca0cb3e1"/>
    <ds:schemaRef ds:uri="http://purl.org/dc/elements/1.1/"/>
    <ds:schemaRef ds:uri="http://schemas.microsoft.com/office/2006/metadata/properties"/>
    <ds:schemaRef ds:uri="http://schemas.microsoft.com/office/infopath/2007/PartnerControls"/>
    <ds:schemaRef ds:uri="aadde95f-8e3a-424a-a79e-9a30405444ad"/>
    <ds:schemaRef ds:uri="http://www.w3.org/XML/1998/namespace"/>
    <ds:schemaRef ds:uri="http://purl.org/dc/dcmitype/"/>
  </ds:schemaRefs>
</ds:datastoreItem>
</file>

<file path=customXml/itemProps2.xml><?xml version="1.0" encoding="utf-8"?>
<ds:datastoreItem xmlns:ds="http://schemas.openxmlformats.org/officeDocument/2006/customXml" ds:itemID="{FDD3DDCB-870B-4BBF-B325-0AA43ED4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de95f-8e3a-424a-a79e-9a30405444ad"/>
    <ds:schemaRef ds:uri="dbdf342c-f02c-48b6-921f-29b7ca0cb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998C7-DE69-4251-83D3-5B856FD7AAEA}">
  <ds:schemaRefs>
    <ds:schemaRef ds:uri="http://schemas.openxmlformats.org/officeDocument/2006/bibliography"/>
  </ds:schemaRefs>
</ds:datastoreItem>
</file>

<file path=customXml/itemProps4.xml><?xml version="1.0" encoding="utf-8"?>
<ds:datastoreItem xmlns:ds="http://schemas.openxmlformats.org/officeDocument/2006/customXml" ds:itemID="{B03FF997-0484-44DB-8D0C-7C7C19973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15291</Words>
  <Characters>82116</Characters>
  <Application>Microsoft Office Word</Application>
  <DocSecurity>0</DocSecurity>
  <Lines>1824</Lines>
  <Paragraphs>1187</Paragraphs>
  <ScaleCrop>false</ScaleCrop>
  <Company/>
  <LinksUpToDate>false</LinksUpToDate>
  <CharactersWithSpaces>96220</CharactersWithSpaces>
  <SharedDoc>false</SharedDoc>
  <HLinks>
    <vt:vector size="78" baseType="variant">
      <vt:variant>
        <vt:i4>2162804</vt:i4>
      </vt:variant>
      <vt:variant>
        <vt:i4>36</vt:i4>
      </vt:variant>
      <vt:variant>
        <vt:i4>0</vt:i4>
      </vt:variant>
      <vt:variant>
        <vt:i4>5</vt:i4>
      </vt:variant>
      <vt:variant>
        <vt:lpwstr>https://scotlgpsregs.org/schemeregs/lgpsregs2018/timeline.php</vt:lpwstr>
      </vt:variant>
      <vt:variant>
        <vt:lpwstr>r61</vt:lpwstr>
      </vt:variant>
      <vt:variant>
        <vt:i4>8192090</vt:i4>
      </vt:variant>
      <vt:variant>
        <vt:i4>33</vt:i4>
      </vt:variant>
      <vt:variant>
        <vt:i4>0</vt:i4>
      </vt:variant>
      <vt:variant>
        <vt:i4>5</vt:i4>
      </vt:variant>
      <vt:variant>
        <vt:lpwstr/>
      </vt:variant>
      <vt:variant>
        <vt:lpwstr>_Deferred_spreading_arrangement</vt:lpwstr>
      </vt:variant>
      <vt:variant>
        <vt:i4>2883625</vt:i4>
      </vt:variant>
      <vt:variant>
        <vt:i4>30</vt:i4>
      </vt:variant>
      <vt:variant>
        <vt:i4>0</vt:i4>
      </vt:variant>
      <vt:variant>
        <vt:i4>5</vt:i4>
      </vt:variant>
      <vt:variant>
        <vt:lpwstr>https://scotlgpsregs.org/schemeregs/tpregs2014/timeline.php</vt:lpwstr>
      </vt:variant>
      <vt:variant>
        <vt:lpwstr>r25A</vt:lpwstr>
      </vt:variant>
      <vt:variant>
        <vt:i4>2162804</vt:i4>
      </vt:variant>
      <vt:variant>
        <vt:i4>27</vt:i4>
      </vt:variant>
      <vt:variant>
        <vt:i4>0</vt:i4>
      </vt:variant>
      <vt:variant>
        <vt:i4>5</vt:i4>
      </vt:variant>
      <vt:variant>
        <vt:lpwstr>https://scotlgpsregs.org/schemeregs/lgpsregs2018/timeline.php</vt:lpwstr>
      </vt:variant>
      <vt:variant>
        <vt:lpwstr>r61</vt:lpwstr>
      </vt:variant>
      <vt:variant>
        <vt:i4>4915293</vt:i4>
      </vt:variant>
      <vt:variant>
        <vt:i4>24</vt:i4>
      </vt:variant>
      <vt:variant>
        <vt:i4>0</vt:i4>
      </vt:variant>
      <vt:variant>
        <vt:i4>5</vt:i4>
      </vt:variant>
      <vt:variant>
        <vt:lpwstr>https://www.gov.uk/guidance/staff-transfers-public-service-pension-schemes</vt:lpwstr>
      </vt:variant>
      <vt:variant>
        <vt:lpwstr>gad-staff-transfers</vt:lpwstr>
      </vt:variant>
      <vt:variant>
        <vt:i4>6619184</vt:i4>
      </vt:variant>
      <vt:variant>
        <vt:i4>21</vt:i4>
      </vt:variant>
      <vt:variant>
        <vt:i4>0</vt:i4>
      </vt:variant>
      <vt:variant>
        <vt:i4>5</vt:i4>
      </vt:variant>
      <vt:variant>
        <vt:lpwstr>https://www.gov.scot/publications/statutory-guidance-local-authorities-contracting/</vt:lpwstr>
      </vt:variant>
      <vt:variant>
        <vt:lpwstr/>
      </vt:variant>
      <vt:variant>
        <vt:i4>4259926</vt:i4>
      </vt:variant>
      <vt:variant>
        <vt:i4>18</vt:i4>
      </vt:variant>
      <vt:variant>
        <vt:i4>0</vt:i4>
      </vt:variant>
      <vt:variant>
        <vt:i4>5</vt:i4>
      </vt:variant>
      <vt:variant>
        <vt:lpwstr>https://www.civilservicepensionscheme.org.uk/joining-the-pension-scheme/transfer-an-old-pension-into-your-civil-service-pension/public-sector-transfer-club/</vt:lpwstr>
      </vt:variant>
      <vt:variant>
        <vt:lpwstr/>
      </vt:variant>
      <vt:variant>
        <vt:i4>2162745</vt:i4>
      </vt:variant>
      <vt:variant>
        <vt:i4>15</vt:i4>
      </vt:variant>
      <vt:variant>
        <vt:i4>0</vt:i4>
      </vt:variant>
      <vt:variant>
        <vt:i4>5</vt:i4>
      </vt:variant>
      <vt:variant>
        <vt:lpwstr>http://www.lgpsregs.org/schemeregs/lgpsregs2013/timeline.php</vt:lpwstr>
      </vt:variant>
      <vt:variant>
        <vt:lpwstr>s1adau</vt:lpwstr>
      </vt:variant>
      <vt:variant>
        <vt:i4>5898252</vt:i4>
      </vt:variant>
      <vt:variant>
        <vt:i4>12</vt:i4>
      </vt:variant>
      <vt:variant>
        <vt:i4>0</vt:i4>
      </vt:variant>
      <vt:variant>
        <vt:i4>5</vt:i4>
      </vt:variant>
      <vt:variant>
        <vt:lpwstr>https://www.legislation.gov.uk/ssi/2018/141/regulation/61</vt:lpwstr>
      </vt:variant>
      <vt:variant>
        <vt:lpwstr/>
      </vt:variant>
      <vt:variant>
        <vt:i4>2031616</vt:i4>
      </vt:variant>
      <vt:variant>
        <vt:i4>9</vt:i4>
      </vt:variant>
      <vt:variant>
        <vt:i4>0</vt:i4>
      </vt:variant>
      <vt:variant>
        <vt:i4>5</vt:i4>
      </vt:variant>
      <vt:variant>
        <vt:lpwstr>http://www.fifepensionfund.org/forms-and-publications/fife-pension-board-constitution</vt:lpwstr>
      </vt:variant>
      <vt:variant>
        <vt:lpwstr/>
      </vt:variant>
      <vt:variant>
        <vt:i4>589846</vt:i4>
      </vt:variant>
      <vt:variant>
        <vt:i4>6</vt:i4>
      </vt:variant>
      <vt:variant>
        <vt:i4>0</vt:i4>
      </vt:variant>
      <vt:variant>
        <vt:i4>5</vt:i4>
      </vt:variant>
      <vt:variant>
        <vt:lpwstr/>
      </vt:variant>
      <vt:variant>
        <vt:lpwstr>AppendixD</vt:lpwstr>
      </vt:variant>
      <vt:variant>
        <vt:i4>2818161</vt:i4>
      </vt:variant>
      <vt:variant>
        <vt:i4>3</vt:i4>
      </vt:variant>
      <vt:variant>
        <vt:i4>0</vt:i4>
      </vt:variant>
      <vt:variant>
        <vt:i4>5</vt:i4>
      </vt:variant>
      <vt:variant>
        <vt:lpwstr>http://www.fifepensionfund.org/</vt:lpwstr>
      </vt:variant>
      <vt:variant>
        <vt:lpwstr/>
      </vt: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Mackie</dc:creator>
  <cp:keywords/>
  <dc:description/>
  <cp:lastModifiedBy>Stacey Shepherd</cp:lastModifiedBy>
  <cp:revision>2</cp:revision>
  <dcterms:created xsi:type="dcterms:W3CDTF">2026-04-03T12:46:00Z</dcterms:created>
  <dcterms:modified xsi:type="dcterms:W3CDTF">2026-04-03T12:46:00Z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0x01010023EDCEDFA650B84C96213CD6569EBDB4</vt:lpwstr>
  </property>
  <property fmtid="{D5CDD505-2E9C-101B-9397-08002B2CF9AE}" pid="3" name="docLang">
    <vt:lpwstr>en</vt:lpwstr>
  </property>
</Properties>
</file>